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C7D64" w14:textId="77777777" w:rsidR="008C53C4" w:rsidRPr="00B535EB" w:rsidRDefault="008C53C4" w:rsidP="008C53C4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535E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“УТВЕРЖДАЮ”</w:t>
      </w:r>
    </w:p>
    <w:p w14:paraId="00832565" w14:textId="77777777" w:rsidR="008C53C4" w:rsidRPr="00B535EB" w:rsidRDefault="008C53C4" w:rsidP="008C53C4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535E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Декан </w:t>
      </w:r>
      <w:r w:rsidR="00C53B38" w:rsidRPr="001A199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53B38">
        <w:rPr>
          <w:rFonts w:ascii="Times New Roman" w:hAnsi="Times New Roman" w:cs="Times New Roman"/>
          <w:b/>
          <w:sz w:val="28"/>
          <w:szCs w:val="28"/>
        </w:rPr>
        <w:t xml:space="preserve">лечебного </w:t>
      </w:r>
      <w:r w:rsidRPr="00B535EB">
        <w:rPr>
          <w:rFonts w:ascii="Times New Roman" w:hAnsi="Times New Roman" w:cs="Times New Roman"/>
          <w:b/>
          <w:sz w:val="28"/>
          <w:szCs w:val="28"/>
          <w:lang w:val="uz-Cyrl-UZ"/>
        </w:rPr>
        <w:t>факультета</w:t>
      </w:r>
    </w:p>
    <w:p w14:paraId="423E52C8" w14:textId="77777777" w:rsidR="008C53C4" w:rsidRPr="00B535EB" w:rsidRDefault="00C53B38" w:rsidP="008C53C4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Ирназаров А.А</w:t>
      </w:r>
    </w:p>
    <w:p w14:paraId="6BFA9A3F" w14:textId="77777777" w:rsidR="008C53C4" w:rsidRPr="00B535EB" w:rsidRDefault="008C53C4" w:rsidP="008C53C4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5EB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14:paraId="07FC5528" w14:textId="34574AFB" w:rsidR="008C53C4" w:rsidRPr="00B535EB" w:rsidRDefault="008C53C4" w:rsidP="008C53C4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535EB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="00C53B3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67002D" w:rsidRPr="005B7CC0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B535EB">
        <w:rPr>
          <w:rFonts w:ascii="Times New Roman" w:hAnsi="Times New Roman" w:cs="Times New Roman"/>
          <w:b/>
          <w:sz w:val="28"/>
          <w:szCs w:val="28"/>
          <w:lang w:val="uz-Cyrl-UZ"/>
        </w:rPr>
        <w:t>”</w:t>
      </w:r>
      <w:r w:rsidR="0067002D" w:rsidRPr="005B7CC0">
        <w:rPr>
          <w:rFonts w:ascii="Times New Roman" w:hAnsi="Times New Roman" w:cs="Times New Roman"/>
          <w:b/>
          <w:sz w:val="28"/>
          <w:szCs w:val="28"/>
        </w:rPr>
        <w:t>___________</w:t>
      </w:r>
      <w:r w:rsidR="00C53B3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B535E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20</w:t>
      </w:r>
      <w:r w:rsidR="00C53B38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="005B7CC0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Pr="00B535E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г. </w:t>
      </w:r>
    </w:p>
    <w:p w14:paraId="765B9327" w14:textId="77777777" w:rsidR="008C53C4" w:rsidRPr="00B535EB" w:rsidRDefault="008C53C4" w:rsidP="008C5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94524" w14:textId="77777777" w:rsidR="008C53C4" w:rsidRDefault="008C53C4" w:rsidP="008C53C4">
      <w:pPr>
        <w:jc w:val="center"/>
        <w:rPr>
          <w:b/>
          <w:lang w:val="uz-Cyrl-UZ"/>
        </w:rPr>
      </w:pPr>
    </w:p>
    <w:p w14:paraId="744E4739" w14:textId="77777777" w:rsidR="008C53C4" w:rsidRPr="008C53C4" w:rsidRDefault="008C53C4" w:rsidP="008C53C4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8C53C4">
        <w:rPr>
          <w:rFonts w:ascii="Times New Roman" w:hAnsi="Times New Roman"/>
          <w:b/>
          <w:sz w:val="28"/>
          <w:szCs w:val="24"/>
          <w:lang w:val="uz-Cyrl-UZ"/>
        </w:rPr>
        <w:t>КАЛЕНДАРНЫЙ ТЕМАТИЧЕСКИЙ ПЛАН</w:t>
      </w:r>
    </w:p>
    <w:p w14:paraId="7A0F4B0B" w14:textId="663C2305" w:rsidR="008C53C4" w:rsidRPr="008C53C4" w:rsidRDefault="008C53C4" w:rsidP="008C53C4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8C53C4">
        <w:rPr>
          <w:rFonts w:ascii="Times New Roman" w:hAnsi="Times New Roman" w:cs="Times New Roman"/>
          <w:b/>
          <w:sz w:val="36"/>
          <w:lang w:val="uz-Cyrl-UZ"/>
        </w:rPr>
        <w:t>20</w:t>
      </w:r>
      <w:r w:rsidR="00C53B38">
        <w:rPr>
          <w:rFonts w:ascii="Times New Roman" w:hAnsi="Times New Roman" w:cs="Times New Roman"/>
          <w:b/>
          <w:sz w:val="36"/>
          <w:lang w:val="uz-Cyrl-UZ"/>
        </w:rPr>
        <w:t>2</w:t>
      </w:r>
      <w:r w:rsidR="005B7CC0">
        <w:rPr>
          <w:rFonts w:ascii="Times New Roman" w:hAnsi="Times New Roman" w:cs="Times New Roman"/>
          <w:b/>
          <w:sz w:val="36"/>
          <w:lang w:val="uz-Cyrl-UZ"/>
        </w:rPr>
        <w:t>3</w:t>
      </w:r>
      <w:r w:rsidRPr="008C53C4">
        <w:rPr>
          <w:rFonts w:ascii="Times New Roman" w:hAnsi="Times New Roman" w:cs="Times New Roman"/>
          <w:b/>
          <w:sz w:val="36"/>
          <w:lang w:val="uz-Cyrl-UZ"/>
        </w:rPr>
        <w:t>-20</w:t>
      </w:r>
      <w:r w:rsidR="000431B2">
        <w:rPr>
          <w:rFonts w:ascii="Times New Roman" w:hAnsi="Times New Roman" w:cs="Times New Roman"/>
          <w:b/>
          <w:sz w:val="36"/>
          <w:lang w:val="uz-Cyrl-UZ"/>
        </w:rPr>
        <w:t>2</w:t>
      </w:r>
      <w:r w:rsidR="005B7CC0">
        <w:rPr>
          <w:rFonts w:ascii="Times New Roman" w:hAnsi="Times New Roman" w:cs="Times New Roman"/>
          <w:b/>
          <w:sz w:val="36"/>
          <w:lang w:val="uz-Cyrl-UZ"/>
        </w:rPr>
        <w:t>4</w:t>
      </w:r>
      <w:r w:rsidRPr="008C53C4">
        <w:rPr>
          <w:rFonts w:ascii="Times New Roman" w:hAnsi="Times New Roman" w:cs="Times New Roman"/>
          <w:b/>
          <w:sz w:val="36"/>
          <w:lang w:val="uz-Cyrl-UZ"/>
        </w:rPr>
        <w:t xml:space="preserve"> учебный год</w:t>
      </w:r>
      <w:bookmarkStart w:id="0" w:name="_GoBack"/>
      <w:bookmarkEnd w:id="0"/>
    </w:p>
    <w:p w14:paraId="37BED038" w14:textId="77777777" w:rsidR="008C53C4" w:rsidRPr="00716C92" w:rsidRDefault="008C53C4" w:rsidP="008C53C4">
      <w:pPr>
        <w:spacing w:line="240" w:lineRule="auto"/>
        <w:rPr>
          <w:rFonts w:ascii="Times New Roman" w:hAnsi="Times New Roman" w:cs="Times New Roman"/>
          <w:sz w:val="28"/>
          <w:lang w:val="uz-Cyrl-UZ"/>
        </w:rPr>
      </w:pPr>
      <w:r w:rsidRPr="00716C92">
        <w:rPr>
          <w:rFonts w:ascii="Times New Roman" w:hAnsi="Times New Roman" w:cs="Times New Roman"/>
          <w:b/>
          <w:sz w:val="28"/>
          <w:lang w:val="uz-Cyrl-UZ"/>
        </w:rPr>
        <w:t>Кафедра:</w:t>
      </w:r>
      <w:r w:rsidRPr="00466BCD">
        <w:rPr>
          <w:rFonts w:ascii="Times New Roman" w:hAnsi="Times New Roman" w:cs="Times New Roman"/>
          <w:sz w:val="32"/>
          <w:u w:val="single"/>
          <w:lang w:val="uz-Cyrl-UZ"/>
        </w:rPr>
        <w:t>Судебная медицина и медицинское право</w:t>
      </w:r>
    </w:p>
    <w:p w14:paraId="2E46CB7D" w14:textId="77777777" w:rsidR="008C53C4" w:rsidRPr="00466BCD" w:rsidRDefault="008C53C4" w:rsidP="008C53C4">
      <w:pPr>
        <w:spacing w:line="240" w:lineRule="auto"/>
        <w:rPr>
          <w:rFonts w:ascii="Times New Roman" w:hAnsi="Times New Roman" w:cs="Times New Roman"/>
          <w:sz w:val="32"/>
          <w:szCs w:val="24"/>
          <w:lang w:val="uz-Cyrl-UZ"/>
        </w:rPr>
      </w:pPr>
      <w:r w:rsidRPr="00716C92">
        <w:rPr>
          <w:rFonts w:ascii="Times New Roman" w:hAnsi="Times New Roman" w:cs="Times New Roman"/>
          <w:b/>
          <w:sz w:val="28"/>
          <w:lang w:val="uz-Cyrl-UZ"/>
        </w:rPr>
        <w:t>Фан:</w:t>
      </w:r>
      <w:r w:rsidRPr="00466BCD">
        <w:rPr>
          <w:rFonts w:ascii="Times New Roman" w:hAnsi="Times New Roman"/>
          <w:bCs/>
          <w:sz w:val="32"/>
          <w:szCs w:val="24"/>
          <w:u w:val="single"/>
        </w:rPr>
        <w:t>Правовые основы медицинской деятельности</w:t>
      </w:r>
    </w:p>
    <w:p w14:paraId="6CF93766" w14:textId="77777777" w:rsidR="008C53C4" w:rsidRPr="00C53B38" w:rsidRDefault="008C53C4" w:rsidP="008C53C4">
      <w:pPr>
        <w:spacing w:line="240" w:lineRule="auto"/>
        <w:rPr>
          <w:rFonts w:ascii="Times New Roman" w:hAnsi="Times New Roman" w:cs="Times New Roman"/>
          <w:sz w:val="32"/>
          <w:szCs w:val="24"/>
          <w:u w:val="single"/>
        </w:rPr>
      </w:pPr>
      <w:r w:rsidRPr="00716C92">
        <w:rPr>
          <w:rFonts w:ascii="Times New Roman" w:hAnsi="Times New Roman" w:cs="Times New Roman"/>
          <w:b/>
          <w:sz w:val="32"/>
          <w:szCs w:val="24"/>
          <w:lang w:val="uz-Cyrl-UZ"/>
        </w:rPr>
        <w:t xml:space="preserve">Факультет: </w:t>
      </w:r>
      <w:r w:rsidR="00C53B38">
        <w:rPr>
          <w:rFonts w:ascii="Times New Roman" w:hAnsi="Times New Roman" w:cs="Times New Roman"/>
          <w:sz w:val="32"/>
          <w:szCs w:val="24"/>
          <w:u w:val="single"/>
          <w:lang w:val="uz-Cyrl-UZ"/>
        </w:rPr>
        <w:t xml:space="preserve">Медико-профилактический </w:t>
      </w:r>
      <w:r w:rsidRPr="00716C92">
        <w:rPr>
          <w:rFonts w:ascii="Times New Roman" w:hAnsi="Times New Roman" w:cs="Times New Roman"/>
          <w:sz w:val="32"/>
          <w:szCs w:val="24"/>
          <w:u w:val="single"/>
          <w:lang w:val="uz-Cyrl-UZ"/>
        </w:rPr>
        <w:t xml:space="preserve"> </w:t>
      </w:r>
      <w:r w:rsidRPr="00716C92">
        <w:rPr>
          <w:rFonts w:ascii="Times New Roman" w:hAnsi="Times New Roman" w:cs="Times New Roman"/>
          <w:b/>
          <w:sz w:val="32"/>
          <w:szCs w:val="24"/>
          <w:lang w:val="uz-Cyrl-UZ"/>
        </w:rPr>
        <w:t xml:space="preserve">курс: </w:t>
      </w:r>
      <w:r w:rsidR="00C53B38">
        <w:rPr>
          <w:rFonts w:ascii="Times New Roman" w:hAnsi="Times New Roman" w:cs="Times New Roman"/>
          <w:sz w:val="32"/>
          <w:szCs w:val="24"/>
          <w:u w:val="single"/>
          <w:lang w:val="uz-Cyrl-UZ"/>
        </w:rPr>
        <w:t xml:space="preserve">5 </w:t>
      </w:r>
      <w:r w:rsidRPr="00716C92">
        <w:rPr>
          <w:rFonts w:ascii="Times New Roman" w:hAnsi="Times New Roman" w:cs="Times New Roman"/>
          <w:b/>
          <w:sz w:val="32"/>
          <w:szCs w:val="24"/>
          <w:lang w:val="uz-Cyrl-UZ"/>
        </w:rPr>
        <w:t>семестр:</w:t>
      </w:r>
      <w:r>
        <w:rPr>
          <w:rFonts w:ascii="Times New Roman" w:hAnsi="Times New Roman" w:cs="Times New Roman"/>
          <w:b/>
          <w:sz w:val="32"/>
          <w:szCs w:val="24"/>
          <w:lang w:val="uz-Cyrl-UZ"/>
        </w:rPr>
        <w:t xml:space="preserve"> </w:t>
      </w:r>
      <w:r w:rsidR="00C53B38">
        <w:rPr>
          <w:rFonts w:ascii="Times New Roman" w:hAnsi="Times New Roman" w:cs="Times New Roman"/>
          <w:sz w:val="32"/>
          <w:szCs w:val="24"/>
          <w:u w:val="single"/>
          <w:lang w:val="en-US"/>
        </w:rPr>
        <w:t>IX</w:t>
      </w:r>
      <w:r w:rsidR="00C53B38" w:rsidRPr="00C53B38">
        <w:rPr>
          <w:rFonts w:ascii="Times New Roman" w:hAnsi="Times New Roman" w:cs="Times New Roman"/>
          <w:sz w:val="32"/>
          <w:szCs w:val="24"/>
          <w:u w:val="single"/>
        </w:rPr>
        <w:t>-</w:t>
      </w:r>
      <w:r w:rsidR="00C53B38">
        <w:rPr>
          <w:rFonts w:ascii="Times New Roman" w:hAnsi="Times New Roman" w:cs="Times New Roman"/>
          <w:sz w:val="32"/>
          <w:szCs w:val="24"/>
          <w:u w:val="single"/>
          <w:lang w:val="en-US"/>
        </w:rPr>
        <w:t>X</w:t>
      </w:r>
    </w:p>
    <w:p w14:paraId="2FCF3EB7" w14:textId="77777777" w:rsidR="008C53C4" w:rsidRPr="00716C92" w:rsidRDefault="008C53C4" w:rsidP="008C53C4">
      <w:pPr>
        <w:spacing w:line="240" w:lineRule="auto"/>
        <w:rPr>
          <w:rFonts w:ascii="Times New Roman" w:hAnsi="Times New Roman" w:cs="Times New Roman"/>
          <w:sz w:val="32"/>
          <w:szCs w:val="24"/>
          <w:u w:val="single"/>
          <w:lang w:val="uz-Cyrl-UZ"/>
        </w:rPr>
      </w:pPr>
      <w:r>
        <w:rPr>
          <w:rFonts w:ascii="Times New Roman" w:hAnsi="Times New Roman" w:cs="Times New Roman"/>
          <w:b/>
          <w:sz w:val="32"/>
          <w:szCs w:val="24"/>
          <w:lang w:val="uz-Cyrl-UZ"/>
        </w:rPr>
        <w:t>Часы за семестр</w:t>
      </w:r>
      <w:r w:rsidRPr="00716C92">
        <w:rPr>
          <w:rFonts w:ascii="Times New Roman" w:hAnsi="Times New Roman" w:cs="Times New Roman"/>
          <w:b/>
          <w:sz w:val="32"/>
          <w:szCs w:val="24"/>
          <w:lang w:val="uz-Cyrl-UZ"/>
        </w:rPr>
        <w:t>:</w:t>
      </w:r>
      <w:r>
        <w:rPr>
          <w:rFonts w:ascii="Times New Roman" w:hAnsi="Times New Roman" w:cs="Times New Roman"/>
          <w:sz w:val="32"/>
          <w:szCs w:val="24"/>
          <w:u w:val="single"/>
          <w:lang w:val="uz-Cyrl-UZ"/>
        </w:rPr>
        <w:t>лекции</w:t>
      </w:r>
      <w:r w:rsidRPr="00716C92">
        <w:rPr>
          <w:rFonts w:ascii="Times New Roman" w:hAnsi="Times New Roman" w:cs="Times New Roman"/>
          <w:sz w:val="32"/>
          <w:szCs w:val="24"/>
          <w:u w:val="single"/>
          <w:lang w:val="uz-Cyrl-UZ"/>
        </w:rPr>
        <w:t>–</w:t>
      </w:r>
      <w:r w:rsidR="00C53B38" w:rsidRPr="00C53B38">
        <w:rPr>
          <w:rFonts w:ascii="Times New Roman" w:hAnsi="Times New Roman" w:cs="Times New Roman"/>
          <w:sz w:val="32"/>
          <w:szCs w:val="24"/>
          <w:u w:val="single"/>
        </w:rPr>
        <w:t>10</w:t>
      </w:r>
      <w:r>
        <w:rPr>
          <w:rFonts w:ascii="Times New Roman" w:hAnsi="Times New Roman" w:cs="Times New Roman"/>
          <w:sz w:val="32"/>
          <w:szCs w:val="24"/>
          <w:lang w:val="uz-Cyrl-UZ"/>
        </w:rPr>
        <w:t xml:space="preserve">      практические занятия</w:t>
      </w:r>
      <w:r>
        <w:rPr>
          <w:rFonts w:ascii="Times New Roman" w:hAnsi="Times New Roman" w:cs="Times New Roman"/>
          <w:sz w:val="32"/>
          <w:szCs w:val="24"/>
          <w:u w:val="single"/>
          <w:lang w:val="uz-Cyrl-UZ"/>
        </w:rPr>
        <w:t xml:space="preserve"> – </w:t>
      </w:r>
      <w:r w:rsidR="00C53B38" w:rsidRPr="00C53B38">
        <w:rPr>
          <w:rFonts w:ascii="Times New Roman" w:hAnsi="Times New Roman" w:cs="Times New Roman"/>
          <w:sz w:val="32"/>
          <w:szCs w:val="24"/>
          <w:u w:val="single"/>
        </w:rPr>
        <w:t>2</w:t>
      </w:r>
      <w:r>
        <w:rPr>
          <w:rFonts w:ascii="Times New Roman" w:hAnsi="Times New Roman" w:cs="Times New Roman"/>
          <w:sz w:val="32"/>
          <w:szCs w:val="24"/>
          <w:u w:val="single"/>
          <w:lang w:val="uz-Cyrl-UZ"/>
        </w:rPr>
        <w:t>4</w:t>
      </w:r>
      <w:r w:rsidRPr="00716C92">
        <w:rPr>
          <w:rFonts w:ascii="Times New Roman" w:hAnsi="Times New Roman" w:cs="Times New Roman"/>
          <w:sz w:val="32"/>
          <w:szCs w:val="24"/>
          <w:u w:val="single"/>
          <w:lang w:val="uz-Cyrl-UZ"/>
        </w:rPr>
        <w:t xml:space="preserve"> </w:t>
      </w:r>
    </w:p>
    <w:p w14:paraId="3CA5B34B" w14:textId="77777777" w:rsidR="008C53C4" w:rsidRPr="00716C92" w:rsidRDefault="008C53C4" w:rsidP="008C53C4">
      <w:pPr>
        <w:jc w:val="center"/>
        <w:rPr>
          <w:rFonts w:ascii="Times New Roman" w:hAnsi="Times New Roman" w:cs="Times New Roman"/>
          <w:b/>
          <w:sz w:val="32"/>
          <w:lang w:val="uz-Cyrl-UZ"/>
        </w:rPr>
      </w:pPr>
      <w:r>
        <w:rPr>
          <w:rFonts w:ascii="Times New Roman" w:hAnsi="Times New Roman" w:cs="Times New Roman"/>
          <w:b/>
          <w:sz w:val="36"/>
          <w:szCs w:val="24"/>
          <w:lang w:val="uz-Cyrl-UZ"/>
        </w:rPr>
        <w:t>Лекционные занятия</w:t>
      </w:r>
    </w:p>
    <w:tbl>
      <w:tblPr>
        <w:tblW w:w="102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680"/>
        <w:gridCol w:w="1046"/>
      </w:tblGrid>
      <w:tr w:rsidR="008C53C4" w:rsidRPr="004379CB" w14:paraId="164C1E67" w14:textId="77777777" w:rsidTr="00E301BB">
        <w:tc>
          <w:tcPr>
            <w:tcW w:w="534" w:type="dxa"/>
          </w:tcPr>
          <w:p w14:paraId="3BDC22A8" w14:textId="77777777" w:rsidR="008C53C4" w:rsidRPr="0000590F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z-Cyrl-UZ"/>
              </w:rPr>
            </w:pPr>
            <w:r w:rsidRPr="0000590F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8680" w:type="dxa"/>
          </w:tcPr>
          <w:p w14:paraId="072A5BC7" w14:textId="77777777" w:rsidR="008C53C4" w:rsidRPr="0000590F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0590F">
              <w:rPr>
                <w:rFonts w:ascii="Times New Roman" w:hAnsi="Times New Roman"/>
                <w:b/>
                <w:sz w:val="28"/>
                <w:szCs w:val="24"/>
              </w:rPr>
              <w:t xml:space="preserve">Тема лекции </w:t>
            </w:r>
          </w:p>
        </w:tc>
        <w:tc>
          <w:tcPr>
            <w:tcW w:w="1046" w:type="dxa"/>
            <w:vAlign w:val="center"/>
          </w:tcPr>
          <w:p w14:paraId="7F0FA579" w14:textId="77777777" w:rsidR="008C53C4" w:rsidRPr="0000590F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z-Cyrl-UZ"/>
              </w:rPr>
            </w:pPr>
            <w:r w:rsidRPr="0000590F">
              <w:rPr>
                <w:rFonts w:ascii="Times New Roman" w:hAnsi="Times New Roman"/>
                <w:b/>
                <w:sz w:val="28"/>
                <w:szCs w:val="24"/>
                <w:lang w:val="uz-Cyrl-UZ"/>
              </w:rPr>
              <w:t>Часы</w:t>
            </w:r>
          </w:p>
        </w:tc>
      </w:tr>
      <w:tr w:rsidR="008C53C4" w:rsidRPr="00B31B59" w14:paraId="274FFF30" w14:textId="77777777" w:rsidTr="00E301BB">
        <w:tc>
          <w:tcPr>
            <w:tcW w:w="534" w:type="dxa"/>
            <w:vAlign w:val="center"/>
          </w:tcPr>
          <w:p w14:paraId="01370A3F" w14:textId="77777777" w:rsidR="008C53C4" w:rsidRPr="0000590F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4"/>
                <w:lang w:val="uz-Cyrl-UZ"/>
              </w:rPr>
              <w:t>1</w:t>
            </w:r>
          </w:p>
        </w:tc>
        <w:tc>
          <w:tcPr>
            <w:tcW w:w="8680" w:type="dxa"/>
          </w:tcPr>
          <w:p w14:paraId="3790C889" w14:textId="77777777" w:rsidR="008C53C4" w:rsidRPr="00533BEC" w:rsidRDefault="008C53C4" w:rsidP="008C53C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EC">
              <w:rPr>
                <w:rFonts w:ascii="Times New Roman" w:hAnsi="Times New Roman" w:cs="Times New Roman"/>
                <w:sz w:val="28"/>
                <w:szCs w:val="28"/>
              </w:rPr>
              <w:t>Содержание предмета «Медицинское право». Цель и задачи изучения предмета. История возникновения и развития дисциплины. Конституционные основы охраны здоровья граждан. Законодательные акты в сфере охраны здоровья граждан. Закон Республики Узбекистан «Об охране здоровья граждан». Основные задачи законодательства в сфере охраны здоровья граждан. Основные принципы охраны здоровья граждан. Системы здравоохранения. Охрана здоровья семьи. Охрана здоровья отдельных категорий граждан.</w:t>
            </w:r>
            <w:r w:rsidR="00C53B38" w:rsidRPr="00533BEC">
              <w:rPr>
                <w:rFonts w:ascii="Times New Roman" w:hAnsi="Times New Roman" w:cs="Times New Roman"/>
                <w:sz w:val="28"/>
                <w:szCs w:val="28"/>
              </w:rPr>
              <w:t xml:space="preserve"> Права пациента. Вопросы согласия граждан на медицинское вмешательство. Отказ от медицинского вмешательства. Виды медико-социальной помощи гражданам и их особенности. Первичная медико-санитарная, скорая, неотложная, специализированная медицинская помощь. Право  на занятие медицинской и фармацевтической деятельностью. Частная медицинская практика. Виды медицинской экспертизы. Присяга врача. Врачебная тайна.</w:t>
            </w:r>
          </w:p>
        </w:tc>
        <w:tc>
          <w:tcPr>
            <w:tcW w:w="1046" w:type="dxa"/>
            <w:vAlign w:val="center"/>
          </w:tcPr>
          <w:p w14:paraId="486A0BB5" w14:textId="77777777" w:rsidR="008C53C4" w:rsidRPr="0000590F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z-Cyrl-UZ"/>
              </w:rPr>
            </w:pPr>
            <w:r w:rsidRPr="0000590F">
              <w:rPr>
                <w:rFonts w:ascii="Times New Roman" w:hAnsi="Times New Roman"/>
                <w:sz w:val="28"/>
                <w:szCs w:val="24"/>
                <w:lang w:val="uz-Cyrl-UZ"/>
              </w:rPr>
              <w:t>2</w:t>
            </w:r>
          </w:p>
        </w:tc>
      </w:tr>
      <w:tr w:rsidR="008C53C4" w:rsidRPr="00B31B59" w14:paraId="4BED7343" w14:textId="77777777" w:rsidTr="008C53C4">
        <w:trPr>
          <w:trHeight w:val="368"/>
        </w:trPr>
        <w:tc>
          <w:tcPr>
            <w:tcW w:w="534" w:type="dxa"/>
            <w:vAlign w:val="center"/>
          </w:tcPr>
          <w:p w14:paraId="42FDA583" w14:textId="77777777" w:rsidR="008C53C4" w:rsidRPr="0000590F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4"/>
                <w:lang w:val="uz-Cyrl-UZ"/>
              </w:rPr>
              <w:t>2</w:t>
            </w:r>
          </w:p>
        </w:tc>
        <w:tc>
          <w:tcPr>
            <w:tcW w:w="8680" w:type="dxa"/>
          </w:tcPr>
          <w:p w14:paraId="17C35A99" w14:textId="77777777" w:rsidR="008C53C4" w:rsidRPr="00533BEC" w:rsidRDefault="00C53B38" w:rsidP="008C53C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EC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модели медицинской этики. Понятие биоэтики, основные ее принципы. Современные проблемы биоэтики. Информированное согласие пациента. Отношение к живой природе. Внедрение достижений науки и техники в  практику. Правовые основы трансплантации органов и тканей человека. Вопросы донорства трупов и живых лиц. Правовые аспекты эвтаназии. </w:t>
            </w:r>
            <w:r w:rsidRPr="00533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Классификация эвтаназии. Применение достижений современной генетики.</w:t>
            </w:r>
          </w:p>
        </w:tc>
        <w:tc>
          <w:tcPr>
            <w:tcW w:w="1046" w:type="dxa"/>
            <w:vAlign w:val="center"/>
          </w:tcPr>
          <w:p w14:paraId="3C77686A" w14:textId="77777777" w:rsidR="008C53C4" w:rsidRPr="0000590F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z-Cyrl-UZ"/>
              </w:rPr>
            </w:pPr>
            <w:r w:rsidRPr="0000590F">
              <w:rPr>
                <w:rFonts w:ascii="Times New Roman" w:hAnsi="Times New Roman"/>
                <w:sz w:val="28"/>
                <w:szCs w:val="24"/>
                <w:lang w:val="uz-Cyrl-UZ"/>
              </w:rPr>
              <w:lastRenderedPageBreak/>
              <w:t>2</w:t>
            </w:r>
          </w:p>
        </w:tc>
      </w:tr>
      <w:tr w:rsidR="008C53C4" w:rsidRPr="00B31B59" w14:paraId="55E03A19" w14:textId="77777777" w:rsidTr="00E301BB">
        <w:tc>
          <w:tcPr>
            <w:tcW w:w="534" w:type="dxa"/>
            <w:vAlign w:val="center"/>
          </w:tcPr>
          <w:p w14:paraId="6F6BB97D" w14:textId="77777777" w:rsidR="008C53C4" w:rsidRPr="0000590F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4"/>
                <w:lang w:val="uz-Cyrl-UZ"/>
              </w:rPr>
              <w:t>3</w:t>
            </w:r>
          </w:p>
        </w:tc>
        <w:tc>
          <w:tcPr>
            <w:tcW w:w="8680" w:type="dxa"/>
          </w:tcPr>
          <w:p w14:paraId="12B7DCAF" w14:textId="77777777" w:rsidR="008C53C4" w:rsidRPr="00533BEC" w:rsidRDefault="00C53B38" w:rsidP="008C53C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EC">
              <w:rPr>
                <w:rFonts w:ascii="Times New Roman" w:hAnsi="Times New Roman" w:cs="Times New Roman"/>
                <w:sz w:val="28"/>
                <w:szCs w:val="28"/>
              </w:rPr>
              <w:t>Понятие профессиональных правонарушений медицинских работников. Состав профессионального правонарушения. Понятие проступков и преступлений. Виды проступков: дисциплинарные, административные, гражданские. Неблагоприятные исходы: врачебная ошибка, несчастный случай. Понятие ятрогении, правовая и медицинская интерпретация ятрогении. Дисциплинарная ответственность медицинских работников. Трудовая дисциплина. Порядок работы в учреждении. Обязанности работодателя и работника. Дисциплинарные взыскания, порядок их применения. Срок действия дисциплинарного наказания.</w:t>
            </w:r>
          </w:p>
        </w:tc>
        <w:tc>
          <w:tcPr>
            <w:tcW w:w="1046" w:type="dxa"/>
            <w:vAlign w:val="center"/>
          </w:tcPr>
          <w:p w14:paraId="3299EB2F" w14:textId="77777777" w:rsidR="008C53C4" w:rsidRPr="0000590F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z-Cyrl-UZ"/>
              </w:rPr>
            </w:pPr>
            <w:r w:rsidRPr="0000590F">
              <w:rPr>
                <w:rFonts w:ascii="Times New Roman" w:hAnsi="Times New Roman"/>
                <w:sz w:val="28"/>
                <w:szCs w:val="24"/>
                <w:lang w:val="uz-Cyrl-UZ"/>
              </w:rPr>
              <w:t>2</w:t>
            </w:r>
          </w:p>
        </w:tc>
      </w:tr>
      <w:tr w:rsidR="008C53C4" w:rsidRPr="00B31B59" w14:paraId="75B0B165" w14:textId="77777777" w:rsidTr="00E301BB">
        <w:tc>
          <w:tcPr>
            <w:tcW w:w="534" w:type="dxa"/>
            <w:vAlign w:val="center"/>
          </w:tcPr>
          <w:p w14:paraId="1621AAA0" w14:textId="77777777" w:rsidR="008C53C4" w:rsidRPr="0000590F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4"/>
                <w:lang w:val="uz-Cyrl-UZ"/>
              </w:rPr>
              <w:t>4</w:t>
            </w:r>
          </w:p>
        </w:tc>
        <w:tc>
          <w:tcPr>
            <w:tcW w:w="8680" w:type="dxa"/>
          </w:tcPr>
          <w:p w14:paraId="249B71ED" w14:textId="77777777" w:rsidR="008C53C4" w:rsidRPr="00533BEC" w:rsidRDefault="00C53B38" w:rsidP="008C53C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EC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медицинских работников. Понятие административного правонарушения. Органы, полномочные рассматривать дела об административных правонарушениях. Обстоятельства, исключающие административную ответственность. Формы вины при административных правонарушениях. Виды административных взысканий и порядок их применения. Гражданско-правовая ответственность медицинских работников. Гражданское право в деятельности медицинских работников. Вопросы гражданско-правовой ответственности в законодательных документах. Особенности гражданско-правовой ответственности. Понятия материального и морального вреда. Комиссионная судебно-медицинская</w:t>
            </w:r>
            <w:r w:rsidRPr="00C53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BEC">
              <w:rPr>
                <w:rFonts w:ascii="Times New Roman" w:hAnsi="Times New Roman" w:cs="Times New Roman"/>
                <w:sz w:val="28"/>
                <w:szCs w:val="28"/>
              </w:rPr>
              <w:t>экспертиза в случаях гражданско-правовой ответственности медицинских работников.</w:t>
            </w:r>
          </w:p>
        </w:tc>
        <w:tc>
          <w:tcPr>
            <w:tcW w:w="1046" w:type="dxa"/>
            <w:vAlign w:val="center"/>
          </w:tcPr>
          <w:p w14:paraId="7A6E549B" w14:textId="77777777" w:rsidR="008C53C4" w:rsidRPr="0000590F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z-Cyrl-UZ"/>
              </w:rPr>
            </w:pPr>
            <w:r w:rsidRPr="0000590F">
              <w:rPr>
                <w:rFonts w:ascii="Times New Roman" w:hAnsi="Times New Roman"/>
                <w:sz w:val="28"/>
                <w:szCs w:val="24"/>
                <w:lang w:val="uz-Cyrl-UZ"/>
              </w:rPr>
              <w:t>2</w:t>
            </w:r>
          </w:p>
        </w:tc>
      </w:tr>
      <w:tr w:rsidR="008C53C4" w:rsidRPr="00B31B59" w14:paraId="1279BCF7" w14:textId="77777777" w:rsidTr="00E301BB">
        <w:tc>
          <w:tcPr>
            <w:tcW w:w="534" w:type="dxa"/>
            <w:vAlign w:val="center"/>
          </w:tcPr>
          <w:p w14:paraId="16926FE6" w14:textId="77777777" w:rsidR="008C53C4" w:rsidRPr="0000590F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4"/>
                <w:lang w:val="uz-Cyrl-UZ"/>
              </w:rPr>
              <w:t>5</w:t>
            </w:r>
          </w:p>
        </w:tc>
        <w:tc>
          <w:tcPr>
            <w:tcW w:w="8680" w:type="dxa"/>
          </w:tcPr>
          <w:p w14:paraId="0ADB75F1" w14:textId="77777777" w:rsidR="008C53C4" w:rsidRPr="00533BEC" w:rsidRDefault="001A1997" w:rsidP="008C53C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медицинских работников. Признаки преступления. Формы вины: умышленно, по неосторожности. Крайняя необходимость. Преступления в профессиональной  деятельности медицинских работников. Значение комиссионных судебно-медицинских экспертиза в случаях профессиональных правонарушений медицинских работников в повышении качества оказания медицинской помощи населению.</w:t>
            </w:r>
          </w:p>
        </w:tc>
        <w:tc>
          <w:tcPr>
            <w:tcW w:w="1046" w:type="dxa"/>
            <w:vAlign w:val="center"/>
          </w:tcPr>
          <w:p w14:paraId="2048588C" w14:textId="77777777" w:rsidR="008C53C4" w:rsidRPr="0000590F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z-Cyrl-UZ"/>
              </w:rPr>
            </w:pPr>
            <w:r w:rsidRPr="0000590F">
              <w:rPr>
                <w:rFonts w:ascii="Times New Roman" w:hAnsi="Times New Roman"/>
                <w:sz w:val="28"/>
                <w:szCs w:val="24"/>
                <w:lang w:val="uz-Cyrl-UZ"/>
              </w:rPr>
              <w:t>2</w:t>
            </w:r>
          </w:p>
        </w:tc>
      </w:tr>
      <w:tr w:rsidR="008C53C4" w:rsidRPr="00C57223" w14:paraId="7F0FC658" w14:textId="77777777" w:rsidTr="00E301BB">
        <w:tc>
          <w:tcPr>
            <w:tcW w:w="534" w:type="dxa"/>
            <w:vAlign w:val="center"/>
          </w:tcPr>
          <w:p w14:paraId="63531BDB" w14:textId="77777777" w:rsidR="008C53C4" w:rsidRPr="00716C92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z-Cyrl-UZ"/>
              </w:rPr>
            </w:pPr>
          </w:p>
        </w:tc>
        <w:tc>
          <w:tcPr>
            <w:tcW w:w="8680" w:type="dxa"/>
          </w:tcPr>
          <w:p w14:paraId="06608F62" w14:textId="77777777" w:rsidR="008C53C4" w:rsidRPr="00716C92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z-Cyrl-UZ"/>
              </w:rPr>
            </w:pPr>
            <w:r w:rsidRPr="00107FD0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ВСЕГО</w:t>
            </w:r>
          </w:p>
        </w:tc>
        <w:tc>
          <w:tcPr>
            <w:tcW w:w="1046" w:type="dxa"/>
            <w:vAlign w:val="center"/>
          </w:tcPr>
          <w:p w14:paraId="41694884" w14:textId="77777777" w:rsidR="008C53C4" w:rsidRPr="00C53B38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z-Cyrl-UZ"/>
              </w:rPr>
              <w:t>1</w:t>
            </w:r>
            <w:r w:rsidR="00C53B38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0</w:t>
            </w:r>
          </w:p>
        </w:tc>
      </w:tr>
    </w:tbl>
    <w:p w14:paraId="1B39085F" w14:textId="77777777" w:rsidR="008C53C4" w:rsidRPr="00716C92" w:rsidRDefault="008C53C4" w:rsidP="008C53C4">
      <w:pPr>
        <w:jc w:val="center"/>
        <w:rPr>
          <w:rFonts w:ascii="Times New Roman" w:hAnsi="Times New Roman" w:cs="Times New Roman"/>
          <w:b/>
          <w:sz w:val="36"/>
          <w:lang w:val="uz-Cyrl-UZ"/>
        </w:rPr>
      </w:pPr>
      <w:r>
        <w:rPr>
          <w:rFonts w:ascii="Times New Roman" w:hAnsi="Times New Roman" w:cs="Times New Roman"/>
          <w:b/>
          <w:sz w:val="36"/>
          <w:lang w:val="uz-Cyrl-UZ"/>
        </w:rPr>
        <w:t>Практические занятия</w:t>
      </w:r>
    </w:p>
    <w:tbl>
      <w:tblPr>
        <w:tblW w:w="102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680"/>
        <w:gridCol w:w="1046"/>
      </w:tblGrid>
      <w:tr w:rsidR="008C53C4" w:rsidRPr="004379CB" w14:paraId="47CA93FC" w14:textId="77777777" w:rsidTr="00E301BB">
        <w:tc>
          <w:tcPr>
            <w:tcW w:w="534" w:type="dxa"/>
            <w:vAlign w:val="center"/>
          </w:tcPr>
          <w:p w14:paraId="7602D549" w14:textId="77777777" w:rsidR="008C53C4" w:rsidRPr="00F86B38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6B38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8680" w:type="dxa"/>
          </w:tcPr>
          <w:p w14:paraId="65BD5B3C" w14:textId="77777777" w:rsidR="008C53C4" w:rsidRPr="00F86B38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z-Cyrl-UZ"/>
              </w:rPr>
            </w:pPr>
            <w:r w:rsidRPr="00F86B38">
              <w:rPr>
                <w:rFonts w:ascii="Times New Roman" w:hAnsi="Times New Roman"/>
                <w:b/>
                <w:sz w:val="28"/>
                <w:szCs w:val="24"/>
              </w:rPr>
              <w:t>Тема занятий</w:t>
            </w:r>
          </w:p>
        </w:tc>
        <w:tc>
          <w:tcPr>
            <w:tcW w:w="1046" w:type="dxa"/>
            <w:vAlign w:val="center"/>
          </w:tcPr>
          <w:p w14:paraId="2C62079B" w14:textId="77777777" w:rsidR="008C53C4" w:rsidRPr="00F86B38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z-Cyrl-UZ"/>
              </w:rPr>
            </w:pPr>
            <w:r w:rsidRPr="00F86B38">
              <w:rPr>
                <w:rFonts w:ascii="Times New Roman" w:hAnsi="Times New Roman"/>
                <w:b/>
                <w:sz w:val="28"/>
                <w:szCs w:val="24"/>
                <w:lang w:val="uz-Cyrl-UZ"/>
              </w:rPr>
              <w:t>Часы</w:t>
            </w:r>
          </w:p>
        </w:tc>
      </w:tr>
      <w:tr w:rsidR="008C53C4" w:rsidRPr="004379CB" w14:paraId="6EEB2CBD" w14:textId="77777777" w:rsidTr="00E301BB">
        <w:tc>
          <w:tcPr>
            <w:tcW w:w="534" w:type="dxa"/>
            <w:vAlign w:val="center"/>
          </w:tcPr>
          <w:p w14:paraId="419BF9BF" w14:textId="77777777" w:rsidR="008C53C4" w:rsidRPr="00F86B38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86B38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680" w:type="dxa"/>
          </w:tcPr>
          <w:p w14:paraId="17C8EE01" w14:textId="77777777" w:rsidR="008C53C4" w:rsidRPr="008C53C4" w:rsidRDefault="002C4E15" w:rsidP="00021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C53C4">
              <w:rPr>
                <w:rFonts w:ascii="Times New Roman" w:hAnsi="Times New Roman" w:cs="Times New Roman"/>
                <w:sz w:val="32"/>
                <w:szCs w:val="28"/>
              </w:rPr>
              <w:t xml:space="preserve">Понятие и классификация дефектов медицинской помощи. Сущность дефектов медицинской помощи, причины их возникновения и влияние на исход. Особенности назначения и проведения комиссионной судебно-медицинской экспертизы в случаях профессиональных правонарушений медицинских работников. Права подозреваемого, обвиняемого и подсудимого при   назначении и проведении </w:t>
            </w:r>
            <w:r w:rsidRPr="008C53C4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судебной экспертизы. Формирование экспертной комиссии. Права и обязанности судебных экспертов и специалистов. Требования к заключению комиссионной судебно-медицинской экспертизы. Оценка заключения комиссионной экспертизы.</w:t>
            </w:r>
          </w:p>
        </w:tc>
        <w:tc>
          <w:tcPr>
            <w:tcW w:w="1046" w:type="dxa"/>
            <w:vAlign w:val="center"/>
          </w:tcPr>
          <w:p w14:paraId="125F5922" w14:textId="77777777" w:rsidR="008C53C4" w:rsidRPr="002C4E15" w:rsidRDefault="002C4E15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lastRenderedPageBreak/>
              <w:t>4</w:t>
            </w:r>
          </w:p>
        </w:tc>
      </w:tr>
      <w:tr w:rsidR="008C53C4" w:rsidRPr="004379CB" w14:paraId="392B9556" w14:textId="77777777" w:rsidTr="00E301BB">
        <w:tc>
          <w:tcPr>
            <w:tcW w:w="534" w:type="dxa"/>
            <w:vAlign w:val="center"/>
          </w:tcPr>
          <w:p w14:paraId="4F204220" w14:textId="77777777" w:rsidR="008C53C4" w:rsidRPr="00F86B38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z-Cyrl-UZ"/>
              </w:rPr>
            </w:pPr>
            <w:r w:rsidRPr="00F86B38">
              <w:rPr>
                <w:rFonts w:ascii="Times New Roman" w:hAnsi="Times New Roman"/>
                <w:sz w:val="28"/>
                <w:szCs w:val="24"/>
                <w:lang w:val="uz-Cyrl-UZ"/>
              </w:rPr>
              <w:t>2</w:t>
            </w:r>
          </w:p>
        </w:tc>
        <w:tc>
          <w:tcPr>
            <w:tcW w:w="8680" w:type="dxa"/>
          </w:tcPr>
          <w:p w14:paraId="23959C05" w14:textId="77777777" w:rsidR="008C53C4" w:rsidRPr="008C53C4" w:rsidRDefault="002C4E15" w:rsidP="00021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C53C4">
              <w:rPr>
                <w:rFonts w:ascii="Times New Roman" w:hAnsi="Times New Roman" w:cs="Times New Roman"/>
                <w:sz w:val="32"/>
                <w:szCs w:val="28"/>
              </w:rPr>
              <w:t>Трудовое законодательство и деятельность медицинских работников. Индивидуальный и коллективный трудовой договор. Основные права и обязанности работодателя и работника. Совместительство, совмещение и заместительство в медицинском учреждении.  Рабочее время. Охрана труда. Основания для прекращения трудового договора. Прекращение трудового договора по инициативе работника и работодателя. Сроки предупреждения при прекращении трудового договора</w:t>
            </w:r>
            <w:r w:rsidRPr="001A1997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 w:rsidRPr="008C53C4">
              <w:rPr>
                <w:rFonts w:ascii="Times New Roman" w:hAnsi="Times New Roman" w:cs="Times New Roman"/>
                <w:sz w:val="32"/>
                <w:szCs w:val="28"/>
              </w:rPr>
              <w:t xml:space="preserve"> Трудовая дисциплина. Обеспечение трудовой дисциплины. Поощрение за труд. Дисциплинарные проступки. Дисциплинарные взыскания, порядок их применения и сроки действия.</w:t>
            </w:r>
          </w:p>
        </w:tc>
        <w:tc>
          <w:tcPr>
            <w:tcW w:w="1046" w:type="dxa"/>
            <w:vAlign w:val="center"/>
          </w:tcPr>
          <w:p w14:paraId="3D8F2FDA" w14:textId="77777777" w:rsidR="008C53C4" w:rsidRPr="002C4E15" w:rsidRDefault="002C4E15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4</w:t>
            </w:r>
          </w:p>
        </w:tc>
      </w:tr>
      <w:tr w:rsidR="008C53C4" w:rsidRPr="004379CB" w14:paraId="4618C3C4" w14:textId="77777777" w:rsidTr="00E301BB">
        <w:tc>
          <w:tcPr>
            <w:tcW w:w="534" w:type="dxa"/>
            <w:vAlign w:val="center"/>
          </w:tcPr>
          <w:p w14:paraId="580CE799" w14:textId="77777777" w:rsidR="008C53C4" w:rsidRPr="00F86B38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z-Cyrl-UZ"/>
              </w:rPr>
            </w:pPr>
            <w:r w:rsidRPr="00F86B38">
              <w:rPr>
                <w:rFonts w:ascii="Times New Roman" w:hAnsi="Times New Roman"/>
                <w:sz w:val="28"/>
                <w:szCs w:val="24"/>
                <w:lang w:val="uz-Cyrl-UZ"/>
              </w:rPr>
              <w:t>3</w:t>
            </w:r>
          </w:p>
        </w:tc>
        <w:tc>
          <w:tcPr>
            <w:tcW w:w="8680" w:type="dxa"/>
          </w:tcPr>
          <w:p w14:paraId="021DACE1" w14:textId="77777777" w:rsidR="008C53C4" w:rsidRPr="008C53C4" w:rsidRDefault="002C4E15" w:rsidP="00021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C53C4">
              <w:rPr>
                <w:rFonts w:ascii="Times New Roman" w:hAnsi="Times New Roman" w:cs="Times New Roman"/>
                <w:sz w:val="32"/>
                <w:szCs w:val="28"/>
              </w:rPr>
              <w:t>Административные проступки медицинских работников. Административные проступки в сфере охраны здоровья граждан, торговли, предпринимательства и финансов, связанные с медицинской деятельностью. Административные проступки, посягающие на установленный порядок управления медицинским учреждением. Протокол об административном правонарушении. Лица, участвующие при рассмотрении дела об  административном правонарушении. Обсуждение заключения комиссионной судебно-медицинской экспертизы при административном правонарушении.</w:t>
            </w:r>
          </w:p>
        </w:tc>
        <w:tc>
          <w:tcPr>
            <w:tcW w:w="1046" w:type="dxa"/>
            <w:vAlign w:val="center"/>
          </w:tcPr>
          <w:p w14:paraId="477DF47A" w14:textId="77777777" w:rsidR="008C53C4" w:rsidRPr="002C4E15" w:rsidRDefault="002C4E15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4</w:t>
            </w:r>
          </w:p>
        </w:tc>
      </w:tr>
      <w:tr w:rsidR="008C53C4" w:rsidRPr="004379CB" w14:paraId="2451D79D" w14:textId="77777777" w:rsidTr="00E301BB">
        <w:tc>
          <w:tcPr>
            <w:tcW w:w="534" w:type="dxa"/>
            <w:vAlign w:val="center"/>
          </w:tcPr>
          <w:p w14:paraId="3F1AFFB5" w14:textId="77777777" w:rsidR="008C53C4" w:rsidRPr="00F86B38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z-Cyrl-UZ"/>
              </w:rPr>
            </w:pPr>
            <w:r w:rsidRPr="00F86B38">
              <w:rPr>
                <w:rFonts w:ascii="Times New Roman" w:hAnsi="Times New Roman"/>
                <w:sz w:val="28"/>
                <w:szCs w:val="24"/>
                <w:lang w:val="uz-Cyrl-UZ"/>
              </w:rPr>
              <w:t>4</w:t>
            </w:r>
          </w:p>
        </w:tc>
        <w:tc>
          <w:tcPr>
            <w:tcW w:w="8680" w:type="dxa"/>
          </w:tcPr>
          <w:p w14:paraId="09D0A3DD" w14:textId="77777777" w:rsidR="008C53C4" w:rsidRPr="002C4E15" w:rsidRDefault="002C4E15" w:rsidP="00021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C53C4">
              <w:rPr>
                <w:rFonts w:ascii="Times New Roman" w:hAnsi="Times New Roman" w:cs="Times New Roman"/>
                <w:sz w:val="32"/>
                <w:szCs w:val="28"/>
              </w:rPr>
              <w:t>Гражданские проступки медицинских работников. Возмещение вреда, причиненного здоровью и жизни граждан. Обсуждение заключения комиссионной судебно-медицинской экспертизы при гражданских делах. Особенности и требования к возмещению материального морального ущерба в Гражданском кодексе Республики Узбекистан. Обсуждение заключения комиссионной судебно-медицинской экспертизы при гражданских делах.</w:t>
            </w:r>
            <w:r w:rsidRPr="002C4E15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8C53C4">
              <w:rPr>
                <w:rFonts w:ascii="Times New Roman" w:hAnsi="Times New Roman" w:cs="Times New Roman"/>
                <w:sz w:val="32"/>
                <w:szCs w:val="28"/>
              </w:rPr>
              <w:t xml:space="preserve">Закон Республики Узбекистан «О защите права потребителей». Пациент – потребитель, медицинский работник – производитель медицинской услуги. Обсуждение </w:t>
            </w:r>
            <w:r w:rsidRPr="008C53C4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заключения комиссионной судебно-медицинской экспертизы при гражданских делах.</w:t>
            </w:r>
          </w:p>
        </w:tc>
        <w:tc>
          <w:tcPr>
            <w:tcW w:w="1046" w:type="dxa"/>
            <w:vAlign w:val="center"/>
          </w:tcPr>
          <w:p w14:paraId="242B1859" w14:textId="77777777" w:rsidR="008C53C4" w:rsidRPr="002C4E15" w:rsidRDefault="002C4E15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lastRenderedPageBreak/>
              <w:t>4</w:t>
            </w:r>
          </w:p>
        </w:tc>
      </w:tr>
      <w:tr w:rsidR="008C53C4" w:rsidRPr="004379CB" w14:paraId="3E42A212" w14:textId="77777777" w:rsidTr="00E301BB">
        <w:tc>
          <w:tcPr>
            <w:tcW w:w="534" w:type="dxa"/>
            <w:vAlign w:val="center"/>
          </w:tcPr>
          <w:p w14:paraId="72C96E3C" w14:textId="77777777" w:rsidR="008C53C4" w:rsidRPr="00F86B38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z-Cyrl-UZ"/>
              </w:rPr>
            </w:pPr>
            <w:r w:rsidRPr="00F86B38">
              <w:rPr>
                <w:rFonts w:ascii="Times New Roman" w:hAnsi="Times New Roman"/>
                <w:sz w:val="28"/>
                <w:szCs w:val="24"/>
                <w:lang w:val="uz-Cyrl-UZ"/>
              </w:rPr>
              <w:t>5</w:t>
            </w:r>
          </w:p>
        </w:tc>
        <w:tc>
          <w:tcPr>
            <w:tcW w:w="8680" w:type="dxa"/>
          </w:tcPr>
          <w:p w14:paraId="3496E996" w14:textId="77777777" w:rsidR="008C53C4" w:rsidRPr="008C53C4" w:rsidRDefault="002C4E15" w:rsidP="00021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C53C4">
              <w:rPr>
                <w:rFonts w:ascii="Times New Roman" w:hAnsi="Times New Roman" w:cs="Times New Roman"/>
                <w:sz w:val="32"/>
                <w:szCs w:val="28"/>
              </w:rPr>
              <w:t>Уголовная ответственность медицинских работников. Преступления против жизни и здоровья граждан: причинение смерти по неосторожности, причинение телесных повреждений различной тяжести. Обсуждение заключения комиссионной судебно-медицинской экспертизы при указанных преступлениях. Преступления опасные для жизни и здоровья граждан: распространение венерического заболевания или ВИЧ-инфекции/ СПИД, преступный аборт. Обсуждение заключения комиссионной судебно-медицинской экспертизы при указанных преступлениях. Ненадлежащее исполнение своих профессиональных обязанностей, оставление в опасности. Обсуждение заключения комиссионной судебно-медицинской экспертизы при указанных преступлениях.</w:t>
            </w:r>
          </w:p>
        </w:tc>
        <w:tc>
          <w:tcPr>
            <w:tcW w:w="1046" w:type="dxa"/>
            <w:vAlign w:val="center"/>
          </w:tcPr>
          <w:p w14:paraId="1C8BE7A7" w14:textId="77777777" w:rsidR="008C53C4" w:rsidRPr="002C4E15" w:rsidRDefault="002C4E15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4</w:t>
            </w:r>
          </w:p>
        </w:tc>
      </w:tr>
      <w:tr w:rsidR="008C53C4" w:rsidRPr="004379CB" w14:paraId="648C86C6" w14:textId="77777777" w:rsidTr="00E301BB">
        <w:tc>
          <w:tcPr>
            <w:tcW w:w="534" w:type="dxa"/>
            <w:vAlign w:val="center"/>
          </w:tcPr>
          <w:p w14:paraId="1D50736B" w14:textId="77777777" w:rsidR="008C53C4" w:rsidRPr="00F86B38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z-Cyrl-UZ"/>
              </w:rPr>
            </w:pPr>
            <w:r w:rsidRPr="00F86B38">
              <w:rPr>
                <w:rFonts w:ascii="Times New Roman" w:hAnsi="Times New Roman"/>
                <w:sz w:val="28"/>
                <w:szCs w:val="24"/>
                <w:lang w:val="uz-Cyrl-UZ"/>
              </w:rPr>
              <w:t>6</w:t>
            </w:r>
          </w:p>
        </w:tc>
        <w:tc>
          <w:tcPr>
            <w:tcW w:w="8680" w:type="dxa"/>
          </w:tcPr>
          <w:p w14:paraId="32689269" w14:textId="77777777" w:rsidR="008C53C4" w:rsidRPr="008C53C4" w:rsidRDefault="002C4E15" w:rsidP="00021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8C53C4">
              <w:rPr>
                <w:rFonts w:ascii="Times New Roman" w:hAnsi="Times New Roman" w:cs="Times New Roman"/>
                <w:sz w:val="32"/>
                <w:szCs w:val="28"/>
              </w:rPr>
              <w:t>Уголовная ответственность медицинских работников. Преступления против семьи, молодежи и нравственности: подмена ребенка, разглашение тайны усыновления, изъятие органов или тканей человека. Обсуждение заключения комиссионной судебно-медицинской экспертизы при указанных преступлениях. Преступления против порядка управления: должностная халатность, должностной подлог, получение взятки, дача взятки, незаконное получение материальных ценностей или имущественной выгоды. Обсуждение случаев при подобных обстоятельствах.</w:t>
            </w:r>
          </w:p>
        </w:tc>
        <w:tc>
          <w:tcPr>
            <w:tcW w:w="1046" w:type="dxa"/>
            <w:vAlign w:val="center"/>
          </w:tcPr>
          <w:p w14:paraId="70C58502" w14:textId="77777777" w:rsidR="008C53C4" w:rsidRPr="002C4E15" w:rsidRDefault="002C4E15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4</w:t>
            </w:r>
          </w:p>
        </w:tc>
      </w:tr>
      <w:tr w:rsidR="008C53C4" w:rsidRPr="004379CB" w14:paraId="55E66B34" w14:textId="77777777" w:rsidTr="00E301BB">
        <w:tc>
          <w:tcPr>
            <w:tcW w:w="534" w:type="dxa"/>
            <w:vAlign w:val="center"/>
          </w:tcPr>
          <w:p w14:paraId="7E1B4D3E" w14:textId="77777777" w:rsidR="008C53C4" w:rsidRPr="00F86B38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8680" w:type="dxa"/>
          </w:tcPr>
          <w:p w14:paraId="786F3244" w14:textId="77777777" w:rsidR="008C53C4" w:rsidRPr="00F86B38" w:rsidRDefault="008C53C4" w:rsidP="00E30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uz-Cyrl-UZ"/>
              </w:rPr>
            </w:pPr>
            <w:r w:rsidRPr="00F86B38">
              <w:rPr>
                <w:rFonts w:ascii="Times New Roman" w:hAnsi="Times New Roman"/>
                <w:b/>
                <w:sz w:val="28"/>
                <w:szCs w:val="24"/>
                <w:lang w:val="uz-Cyrl-UZ"/>
              </w:rPr>
              <w:t>ВСЕГО</w:t>
            </w:r>
          </w:p>
        </w:tc>
        <w:tc>
          <w:tcPr>
            <w:tcW w:w="1046" w:type="dxa"/>
            <w:vAlign w:val="center"/>
          </w:tcPr>
          <w:p w14:paraId="5CE84686" w14:textId="77777777" w:rsidR="008C53C4" w:rsidRPr="002C4E15" w:rsidRDefault="002C4E15" w:rsidP="00E30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24</w:t>
            </w:r>
          </w:p>
        </w:tc>
      </w:tr>
    </w:tbl>
    <w:p w14:paraId="03AB92A5" w14:textId="77777777" w:rsidR="008C53C4" w:rsidRPr="004379CB" w:rsidRDefault="008C53C4" w:rsidP="008C53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82574DE" w14:textId="77777777" w:rsidR="008C53C4" w:rsidRDefault="008C53C4" w:rsidP="008C53C4">
      <w:pPr>
        <w:rPr>
          <w:rFonts w:ascii="Times New Roman" w:hAnsi="Times New Roman" w:cs="Times New Roman"/>
          <w:sz w:val="32"/>
          <w:lang w:val="uz-Cyrl-UZ"/>
        </w:rPr>
      </w:pPr>
    </w:p>
    <w:p w14:paraId="000159F2" w14:textId="77777777" w:rsidR="008C53C4" w:rsidRPr="0067002D" w:rsidRDefault="008C53C4" w:rsidP="008C53C4">
      <w:pPr>
        <w:rPr>
          <w:rFonts w:ascii="Times New Roman" w:hAnsi="Times New Roman" w:cs="Times New Roman"/>
          <w:b/>
          <w:sz w:val="32"/>
          <w:lang w:val="uz-Cyrl-UZ"/>
        </w:rPr>
      </w:pPr>
      <w:r w:rsidRPr="0067002D">
        <w:rPr>
          <w:rFonts w:ascii="Times New Roman" w:hAnsi="Times New Roman" w:cs="Times New Roman"/>
          <w:b/>
          <w:sz w:val="32"/>
          <w:lang w:val="uz-Cyrl-UZ"/>
        </w:rPr>
        <w:t xml:space="preserve">     Зав.кафедой                                                И.И.Бахриев</w:t>
      </w:r>
    </w:p>
    <w:p w14:paraId="4EE43E9A" w14:textId="77777777" w:rsidR="008C53C4" w:rsidRPr="00716C92" w:rsidRDefault="008C53C4" w:rsidP="008C53C4">
      <w:pPr>
        <w:rPr>
          <w:rFonts w:ascii="Times New Roman" w:hAnsi="Times New Roman" w:cs="Times New Roman"/>
          <w:sz w:val="32"/>
          <w:lang w:val="uz-Cyrl-UZ"/>
        </w:rPr>
      </w:pPr>
      <w:r>
        <w:rPr>
          <w:rFonts w:ascii="Times New Roman" w:hAnsi="Times New Roman" w:cs="Times New Roman"/>
          <w:sz w:val="32"/>
          <w:lang w:val="uz-Cyrl-UZ"/>
        </w:rPr>
        <w:t xml:space="preserve"> </w:t>
      </w:r>
    </w:p>
    <w:p w14:paraId="254281CD" w14:textId="77777777" w:rsidR="008C53C4" w:rsidRPr="00716C92" w:rsidRDefault="008C53C4" w:rsidP="008C53C4">
      <w:pPr>
        <w:rPr>
          <w:rFonts w:ascii="Times New Roman" w:hAnsi="Times New Roman" w:cs="Times New Roman"/>
          <w:sz w:val="32"/>
          <w:lang w:val="uz-Cyrl-UZ"/>
        </w:rPr>
      </w:pPr>
    </w:p>
    <w:p w14:paraId="037A4D60" w14:textId="77777777" w:rsidR="00E77F83" w:rsidRPr="00E77F83" w:rsidRDefault="00E77F83" w:rsidP="00625B01">
      <w:pPr>
        <w:jc w:val="center"/>
        <w:rPr>
          <w:rFonts w:ascii="Times New Roman" w:hAnsi="Times New Roman" w:cs="Times New Roman"/>
          <w:sz w:val="32"/>
          <w:szCs w:val="28"/>
        </w:rPr>
      </w:pPr>
    </w:p>
    <w:sectPr w:rsidR="00E77F83" w:rsidRPr="00E77F83" w:rsidSect="0012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40F21"/>
    <w:multiLevelType w:val="hybridMultilevel"/>
    <w:tmpl w:val="C5CE1F1E"/>
    <w:lvl w:ilvl="0" w:tplc="2BD62B2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3D1696"/>
    <w:multiLevelType w:val="hybridMultilevel"/>
    <w:tmpl w:val="9AF0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B01"/>
    <w:rsid w:val="000210C9"/>
    <w:rsid w:val="000431B2"/>
    <w:rsid w:val="00050727"/>
    <w:rsid w:val="001242E4"/>
    <w:rsid w:val="00167451"/>
    <w:rsid w:val="001A1997"/>
    <w:rsid w:val="002649C8"/>
    <w:rsid w:val="002C4E15"/>
    <w:rsid w:val="00500655"/>
    <w:rsid w:val="005B7CC0"/>
    <w:rsid w:val="005C70E6"/>
    <w:rsid w:val="00625B01"/>
    <w:rsid w:val="0067002D"/>
    <w:rsid w:val="006F0D05"/>
    <w:rsid w:val="00773EAD"/>
    <w:rsid w:val="007A0101"/>
    <w:rsid w:val="008C15A8"/>
    <w:rsid w:val="008C53C4"/>
    <w:rsid w:val="00B90539"/>
    <w:rsid w:val="00C53B38"/>
    <w:rsid w:val="00DD0151"/>
    <w:rsid w:val="00E451C4"/>
    <w:rsid w:val="00E77F83"/>
    <w:rsid w:val="00F3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A237"/>
  <w15:docId w15:val="{4AE5615B-8B0D-4D4D-AED3-F27BA238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TMA</cp:lastModifiedBy>
  <cp:revision>20</cp:revision>
  <cp:lastPrinted>2022-09-04T11:29:00Z</cp:lastPrinted>
  <dcterms:created xsi:type="dcterms:W3CDTF">2018-02-27T05:39:00Z</dcterms:created>
  <dcterms:modified xsi:type="dcterms:W3CDTF">2023-09-25T04:18:00Z</dcterms:modified>
</cp:coreProperties>
</file>