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987DE" w14:textId="4A38F49D" w:rsidR="008E229E" w:rsidRDefault="008E229E" w:rsidP="008E229E">
      <w:pPr>
        <w:pStyle w:val="a3"/>
        <w:spacing w:before="63"/>
        <w:ind w:left="6691" w:right="608"/>
        <w:jc w:val="center"/>
      </w:pPr>
      <w:r>
        <w:t>“</w:t>
      </w:r>
      <w:r>
        <w:rPr>
          <w:lang w:val="en-US"/>
        </w:rPr>
        <w:t>Tasdiqlayman</w:t>
      </w:r>
      <w:r>
        <w:t>”</w:t>
      </w:r>
    </w:p>
    <w:p w14:paraId="7E891543" w14:textId="11962767" w:rsidR="008E229E" w:rsidRDefault="008E229E" w:rsidP="008E229E">
      <w:pPr>
        <w:pStyle w:val="a3"/>
        <w:spacing w:before="2"/>
        <w:ind w:left="6691" w:right="608"/>
        <w:jc w:val="center"/>
        <w:rPr>
          <w:spacing w:val="-67"/>
        </w:rPr>
      </w:pPr>
      <w:r w:rsidRPr="008E229E">
        <w:t xml:space="preserve">2 </w:t>
      </w:r>
      <w:r>
        <w:rPr>
          <w:lang w:val="en-US"/>
        </w:rPr>
        <w:t>Davolash</w:t>
      </w:r>
      <w:r w:rsidRPr="008E229E">
        <w:t xml:space="preserve"> </w:t>
      </w:r>
      <w:r>
        <w:rPr>
          <w:lang w:val="en-US"/>
        </w:rPr>
        <w:t>fakulteti</w:t>
      </w:r>
      <w:r w:rsidRPr="008E229E">
        <w:t xml:space="preserve"> </w:t>
      </w:r>
      <w:r>
        <w:rPr>
          <w:lang w:val="en-US"/>
        </w:rPr>
        <w:t>dekani</w:t>
      </w:r>
      <w:r>
        <w:t>,</w:t>
      </w:r>
      <w:r>
        <w:rPr>
          <w:spacing w:val="-67"/>
        </w:rPr>
        <w:t xml:space="preserve"> </w:t>
      </w:r>
    </w:p>
    <w:p w14:paraId="7D2E4D60" w14:textId="2CD4DCA4" w:rsidR="008E229E" w:rsidRPr="008E229E" w:rsidRDefault="00567EEE" w:rsidP="008E229E">
      <w:pPr>
        <w:pStyle w:val="a3"/>
        <w:spacing w:before="2"/>
        <w:ind w:left="6691" w:right="608"/>
        <w:jc w:val="center"/>
      </w:pPr>
      <w:r>
        <w:rPr>
          <w:lang w:val="en-US"/>
        </w:rPr>
        <w:t>Irnazarov A.A.</w:t>
      </w:r>
      <w:r w:rsidR="008E229E" w:rsidRPr="008E229E">
        <w:t xml:space="preserve"> </w:t>
      </w:r>
    </w:p>
    <w:p w14:paraId="745B5448" w14:textId="464E67E0" w:rsidR="008E229E" w:rsidRDefault="008E229E" w:rsidP="008E229E">
      <w:pPr>
        <w:rPr>
          <w:b/>
          <w:sz w:val="23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0AFC9A" wp14:editId="1693FC9A">
                <wp:simplePos x="0" y="0"/>
                <wp:positionH relativeFrom="page">
                  <wp:posOffset>5227955</wp:posOffset>
                </wp:positionH>
                <wp:positionV relativeFrom="paragraph">
                  <wp:posOffset>198120</wp:posOffset>
                </wp:positionV>
                <wp:extent cx="1245235" cy="1270"/>
                <wp:effectExtent l="8255" t="14605" r="13335" b="1270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8233 8233"/>
                            <a:gd name="T1" fmla="*/ T0 w 1961"/>
                            <a:gd name="T2" fmla="+- 0 10194 82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8F99761" id="Полилиния: фигура 1" o:spid="_x0000_s1026" style="position:absolute;margin-left:411.65pt;margin-top:15.6pt;width:98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" path="m,l1961,e" filled="f" strokeweight=".31203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</w:p>
    <w:p w14:paraId="6EBD4A76" w14:textId="2D90ABEB" w:rsidR="008E229E" w:rsidRDefault="008E229E" w:rsidP="008E229E">
      <w:pPr>
        <w:pStyle w:val="a3"/>
        <w:spacing w:line="293" w:lineRule="exact"/>
        <w:ind w:left="6967"/>
      </w:pPr>
      <w:r>
        <w:t>«</w:t>
      </w:r>
      <w:r>
        <w:rPr>
          <w:spacing w:val="-2"/>
          <w:u w:val="thick"/>
        </w:rPr>
        <w:t xml:space="preserve"> </w:t>
      </w:r>
      <w:r>
        <w:rPr>
          <w:spacing w:val="-1"/>
          <w:u w:val="thick"/>
        </w:rPr>
        <w:t xml:space="preserve"> </w:t>
      </w:r>
      <w:r w:rsidR="006C0DE8">
        <w:rPr>
          <w:spacing w:val="-1"/>
          <w:u w:val="thick"/>
          <w:lang w:val="en-US"/>
        </w:rPr>
        <w:t>__</w:t>
      </w:r>
      <w:r>
        <w:t>»</w:t>
      </w:r>
      <w:r w:rsidR="006C0DE8">
        <w:rPr>
          <w:lang w:val="en-US"/>
        </w:rPr>
        <w:t>___________</w:t>
      </w:r>
      <w:r>
        <w:rPr>
          <w:spacing w:val="68"/>
        </w:rPr>
        <w:t xml:space="preserve"> </w:t>
      </w:r>
      <w:r>
        <w:t>202</w:t>
      </w:r>
      <w:r w:rsidR="0058311E">
        <w:rPr>
          <w:lang w:val="uz-Cyrl-UZ"/>
        </w:rPr>
        <w:t>3</w:t>
      </w:r>
      <w:r>
        <w:rPr>
          <w:spacing w:val="-2"/>
        </w:rPr>
        <w:t xml:space="preserve"> </w:t>
      </w:r>
      <w:r w:rsidR="00384C6E">
        <w:rPr>
          <w:lang w:val="en-US"/>
        </w:rPr>
        <w:t>y</w:t>
      </w:r>
      <w:r>
        <w:t>.</w:t>
      </w:r>
    </w:p>
    <w:p w14:paraId="6EDE77E4" w14:textId="77777777" w:rsidR="008E229E" w:rsidRDefault="008E229E" w:rsidP="008E229E">
      <w:pPr>
        <w:rPr>
          <w:b/>
          <w:sz w:val="30"/>
        </w:rPr>
      </w:pPr>
    </w:p>
    <w:p w14:paraId="67AA5CBD" w14:textId="538389A6" w:rsidR="008E229E" w:rsidRDefault="00384C6E" w:rsidP="008E229E">
      <w:pPr>
        <w:spacing w:before="207" w:line="368" w:lineRule="exact"/>
        <w:ind w:left="730" w:right="608"/>
        <w:jc w:val="center"/>
        <w:rPr>
          <w:b/>
          <w:sz w:val="32"/>
        </w:rPr>
      </w:pPr>
      <w:r>
        <w:rPr>
          <w:b/>
          <w:sz w:val="32"/>
          <w:lang w:val="en-US"/>
        </w:rPr>
        <w:t>KALENDAR</w:t>
      </w:r>
      <w:r w:rsidRPr="00384C6E">
        <w:rPr>
          <w:b/>
          <w:sz w:val="32"/>
        </w:rPr>
        <w:t xml:space="preserve"> -</w:t>
      </w:r>
      <w:r>
        <w:rPr>
          <w:b/>
          <w:sz w:val="32"/>
          <w:lang w:val="en-US"/>
        </w:rPr>
        <w:t>TEMATIK</w:t>
      </w:r>
      <w:r w:rsidRPr="00384C6E">
        <w:rPr>
          <w:b/>
          <w:sz w:val="32"/>
        </w:rPr>
        <w:t xml:space="preserve"> </w:t>
      </w:r>
      <w:r>
        <w:rPr>
          <w:b/>
          <w:sz w:val="32"/>
          <w:lang w:val="en-US"/>
        </w:rPr>
        <w:t>REJA</w:t>
      </w:r>
      <w:r w:rsidRPr="00384C6E">
        <w:rPr>
          <w:b/>
          <w:sz w:val="32"/>
        </w:rPr>
        <w:t xml:space="preserve"> </w:t>
      </w:r>
    </w:p>
    <w:p w14:paraId="0DB4A2B1" w14:textId="3842D53F" w:rsidR="008E229E" w:rsidRDefault="008E229E" w:rsidP="008E229E">
      <w:pPr>
        <w:spacing w:line="365" w:lineRule="exact"/>
        <w:ind w:left="3877"/>
        <w:rPr>
          <w:b/>
          <w:sz w:val="32"/>
        </w:rPr>
      </w:pPr>
      <w:r>
        <w:rPr>
          <w:b/>
          <w:sz w:val="32"/>
        </w:rPr>
        <w:t>202</w:t>
      </w:r>
      <w:r w:rsidR="0058311E">
        <w:rPr>
          <w:b/>
          <w:sz w:val="32"/>
          <w:lang w:val="uz-Cyrl-UZ"/>
        </w:rPr>
        <w:t>3</w:t>
      </w:r>
      <w:r>
        <w:rPr>
          <w:b/>
          <w:sz w:val="32"/>
        </w:rPr>
        <w:t>-202</w:t>
      </w:r>
      <w:r w:rsidR="0058311E">
        <w:rPr>
          <w:b/>
          <w:sz w:val="32"/>
          <w:lang w:val="uz-Cyrl-UZ"/>
        </w:rPr>
        <w:t>4</w:t>
      </w:r>
      <w:r>
        <w:rPr>
          <w:b/>
          <w:spacing w:val="-3"/>
          <w:sz w:val="32"/>
        </w:rPr>
        <w:t xml:space="preserve"> </w:t>
      </w:r>
      <w:r w:rsidR="00384C6E" w:rsidRPr="00384C6E">
        <w:rPr>
          <w:b/>
          <w:sz w:val="32"/>
        </w:rPr>
        <w:t>o'quv yili</w:t>
      </w:r>
    </w:p>
    <w:p w14:paraId="65D22695" w14:textId="515DD20A" w:rsidR="008E229E" w:rsidRDefault="00384C6E" w:rsidP="008E229E">
      <w:pPr>
        <w:spacing w:line="320" w:lineRule="exact"/>
        <w:ind w:left="538"/>
        <w:rPr>
          <w:sz w:val="28"/>
        </w:rPr>
      </w:pPr>
      <w:r>
        <w:rPr>
          <w:b/>
          <w:sz w:val="28"/>
          <w:lang w:val="en-US"/>
        </w:rPr>
        <w:t>Kafedra</w:t>
      </w:r>
      <w:r w:rsidR="008E229E">
        <w:rPr>
          <w:b/>
          <w:sz w:val="28"/>
        </w:rPr>
        <w:t>:</w:t>
      </w:r>
      <w:r w:rsidR="008E229E">
        <w:rPr>
          <w:b/>
          <w:spacing w:val="-3"/>
          <w:sz w:val="28"/>
        </w:rPr>
        <w:t xml:space="preserve"> </w:t>
      </w:r>
      <w:r w:rsidRPr="00384C6E">
        <w:rPr>
          <w:sz w:val="28"/>
          <w:u w:val="single"/>
        </w:rPr>
        <w:t>Sud tibbiyoti va tibbiyot huquqi</w:t>
      </w:r>
    </w:p>
    <w:p w14:paraId="28740D3A" w14:textId="45AF506A" w:rsidR="00384C6E" w:rsidRPr="00384C6E" w:rsidRDefault="00384C6E" w:rsidP="008E229E">
      <w:pPr>
        <w:spacing w:before="48"/>
        <w:ind w:left="538"/>
        <w:rPr>
          <w:bCs/>
          <w:sz w:val="28"/>
          <w:u w:val="single"/>
        </w:rPr>
      </w:pPr>
      <w:r w:rsidRPr="00384C6E">
        <w:rPr>
          <w:b/>
          <w:sz w:val="28"/>
        </w:rPr>
        <w:t xml:space="preserve">Fan: </w:t>
      </w:r>
      <w:r w:rsidRPr="00384C6E">
        <w:rPr>
          <w:bCs/>
          <w:sz w:val="28"/>
          <w:u w:val="single"/>
          <w:lang w:val="en-US"/>
        </w:rPr>
        <w:t>S</w:t>
      </w:r>
      <w:r w:rsidRPr="00384C6E">
        <w:rPr>
          <w:bCs/>
          <w:sz w:val="28"/>
          <w:u w:val="single"/>
        </w:rPr>
        <w:t>ud tibbiyoti</w:t>
      </w:r>
    </w:p>
    <w:p w14:paraId="75F28581" w14:textId="0C5B095A" w:rsidR="00384C6E" w:rsidRPr="00384C6E" w:rsidRDefault="00384C6E" w:rsidP="008E229E">
      <w:pPr>
        <w:tabs>
          <w:tab w:val="left" w:pos="6578"/>
        </w:tabs>
        <w:spacing w:before="50"/>
        <w:ind w:left="538"/>
        <w:rPr>
          <w:bCs/>
          <w:sz w:val="28"/>
          <w:u w:val="single"/>
        </w:rPr>
      </w:pPr>
      <w:r w:rsidRPr="00384C6E">
        <w:rPr>
          <w:b/>
          <w:sz w:val="28"/>
        </w:rPr>
        <w:t xml:space="preserve">Fakultet: </w:t>
      </w:r>
      <w:r w:rsidR="00C35E7F">
        <w:rPr>
          <w:bCs/>
          <w:sz w:val="28"/>
          <w:u w:val="single"/>
          <w:lang w:val="uz-Cyrl-UZ"/>
        </w:rPr>
        <w:t>Tibbiy</w:t>
      </w:r>
      <w:r w:rsidR="00CB1AB1">
        <w:rPr>
          <w:bCs/>
          <w:sz w:val="28"/>
          <w:u w:val="single"/>
          <w:lang w:val="uz-Cyrl-UZ"/>
        </w:rPr>
        <w:t xml:space="preserve"> </w:t>
      </w:r>
      <w:r w:rsidR="00C35E7F">
        <w:rPr>
          <w:bCs/>
          <w:sz w:val="28"/>
          <w:u w:val="single"/>
          <w:lang w:val="uz-Cyrl-UZ"/>
        </w:rPr>
        <w:t>biologiya</w:t>
      </w:r>
      <w:r w:rsidRPr="00384C6E">
        <w:rPr>
          <w:b/>
          <w:sz w:val="28"/>
        </w:rPr>
        <w:t xml:space="preserve"> kursi: </w:t>
      </w:r>
      <w:r w:rsidRPr="00384C6E">
        <w:rPr>
          <w:bCs/>
          <w:sz w:val="28"/>
          <w:u w:val="single"/>
        </w:rPr>
        <w:t>4</w:t>
      </w:r>
      <w:r w:rsidRPr="00384C6E">
        <w:rPr>
          <w:b/>
          <w:sz w:val="28"/>
        </w:rPr>
        <w:t xml:space="preserve"> semestr: </w:t>
      </w:r>
      <w:r w:rsidRPr="00384C6E">
        <w:rPr>
          <w:bCs/>
          <w:sz w:val="28"/>
          <w:u w:val="single"/>
        </w:rPr>
        <w:t>VII-VIII</w:t>
      </w:r>
    </w:p>
    <w:p w14:paraId="69BCA7EC" w14:textId="2505D865" w:rsidR="00384C6E" w:rsidRPr="000E73DA" w:rsidRDefault="00384C6E" w:rsidP="00384C6E">
      <w:pPr>
        <w:spacing w:before="52"/>
        <w:ind w:right="608"/>
        <w:rPr>
          <w:bCs/>
          <w:sz w:val="28"/>
          <w:u w:val="single"/>
          <w:lang w:val="uz-Cyrl-UZ"/>
        </w:rPr>
      </w:pPr>
      <w:r w:rsidRPr="007506FA">
        <w:rPr>
          <w:b/>
          <w:sz w:val="28"/>
        </w:rPr>
        <w:t xml:space="preserve">        </w:t>
      </w:r>
      <w:r w:rsidRPr="00384C6E">
        <w:rPr>
          <w:b/>
          <w:sz w:val="28"/>
        </w:rPr>
        <w:t>Semestr uchun ajratilgan soat</w:t>
      </w:r>
      <w:r w:rsidRPr="00384C6E">
        <w:rPr>
          <w:bCs/>
          <w:sz w:val="28"/>
          <w:u w:val="single"/>
          <w:lang w:val="en-US"/>
        </w:rPr>
        <w:t>:</w:t>
      </w:r>
      <w:r w:rsidRPr="00384C6E">
        <w:rPr>
          <w:bCs/>
          <w:sz w:val="28"/>
          <w:u w:val="single"/>
        </w:rPr>
        <w:t>ma'ruza-</w:t>
      </w:r>
      <w:r w:rsidR="006C0DE8">
        <w:rPr>
          <w:bCs/>
          <w:sz w:val="28"/>
          <w:u w:val="single"/>
          <w:lang w:val="en-US"/>
        </w:rPr>
        <w:t>6</w:t>
      </w:r>
      <w:r>
        <w:rPr>
          <w:bCs/>
          <w:sz w:val="28"/>
          <w:u w:val="single"/>
          <w:lang w:val="en-US"/>
        </w:rPr>
        <w:t>,</w:t>
      </w:r>
      <w:r w:rsidRPr="00384C6E">
        <w:rPr>
          <w:bCs/>
          <w:sz w:val="28"/>
          <w:u w:val="single"/>
        </w:rPr>
        <w:t xml:space="preserve"> amaliy mashg'ulot-</w:t>
      </w:r>
      <w:r w:rsidR="000E73DA">
        <w:rPr>
          <w:bCs/>
          <w:sz w:val="28"/>
          <w:u w:val="single"/>
          <w:lang w:val="uz-Cyrl-UZ"/>
        </w:rPr>
        <w:t>30</w:t>
      </w:r>
    </w:p>
    <w:p w14:paraId="5A611AD1" w14:textId="77777777" w:rsidR="00C35E7F" w:rsidRDefault="00C35E7F" w:rsidP="00384C6E">
      <w:pPr>
        <w:spacing w:before="2"/>
        <w:jc w:val="center"/>
        <w:rPr>
          <w:b/>
          <w:sz w:val="36"/>
        </w:rPr>
      </w:pPr>
    </w:p>
    <w:p w14:paraId="5BE401C0" w14:textId="5C1F62FF" w:rsidR="008E229E" w:rsidRDefault="00384C6E" w:rsidP="00384C6E">
      <w:pPr>
        <w:spacing w:before="2"/>
        <w:jc w:val="center"/>
        <w:rPr>
          <w:b/>
          <w:sz w:val="24"/>
        </w:rPr>
      </w:pPr>
      <w:r w:rsidRPr="00384C6E">
        <w:rPr>
          <w:b/>
          <w:sz w:val="36"/>
        </w:rPr>
        <w:t>Ma'ruza mashg'ulotlari</w:t>
      </w:r>
    </w:p>
    <w:p w14:paraId="79EFCC84" w14:textId="77777777" w:rsidR="008E229E" w:rsidRDefault="008E229E" w:rsidP="008E229E">
      <w:pPr>
        <w:spacing w:line="301" w:lineRule="exact"/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8257"/>
        <w:gridCol w:w="1372"/>
      </w:tblGrid>
      <w:tr w:rsidR="007506FA" w:rsidRPr="00435132" w14:paraId="3A73CF3B" w14:textId="77777777" w:rsidTr="007506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1E87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rFonts w:eastAsia="Calibri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E50A" w14:textId="776A627C" w:rsidR="007506FA" w:rsidRPr="005F1690" w:rsidRDefault="00C35E7F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sz w:val="28"/>
                <w:szCs w:val="28"/>
                <w:lang w:val="uz-Cyrl-UZ"/>
              </w:rPr>
              <w:t>Mashg‘ulotlar</w:t>
            </w:r>
            <w:r w:rsidR="007506FA" w:rsidRPr="005F1690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z-Cyrl-UZ"/>
              </w:rPr>
              <w:t>mavzusi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49779" w14:textId="2602F7E5" w:rsidR="007506FA" w:rsidRPr="005F1690" w:rsidRDefault="00C35E7F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Dars</w:t>
            </w:r>
            <w:r w:rsidR="007506FA" w:rsidRPr="005F1690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soatlari</w:t>
            </w:r>
            <w:r w:rsidR="007506FA" w:rsidRPr="005F1690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hajmi</w:t>
            </w:r>
          </w:p>
        </w:tc>
      </w:tr>
      <w:tr w:rsidR="007506FA" w:rsidRPr="00782FC8" w14:paraId="06BB5C76" w14:textId="77777777" w:rsidTr="007506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CED9" w14:textId="77777777" w:rsidR="007506FA" w:rsidRPr="005F1690" w:rsidRDefault="007506FA" w:rsidP="006C114F">
            <w:pPr>
              <w:tabs>
                <w:tab w:val="center" w:pos="22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7CC90816" w14:textId="77777777" w:rsidR="007506FA" w:rsidRPr="005F1690" w:rsidRDefault="007506FA" w:rsidP="006C114F">
            <w:pPr>
              <w:tabs>
                <w:tab w:val="center" w:pos="229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rFonts w:eastAsia="Calibri"/>
                <w:b/>
                <w:sz w:val="28"/>
                <w:szCs w:val="28"/>
                <w:lang w:val="uz-Cyrl-UZ"/>
              </w:rPr>
              <w:t>1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8291B" w14:textId="41D256B7" w:rsidR="007506FA" w:rsidRPr="005F1690" w:rsidRDefault="00C35E7F" w:rsidP="006C114F">
            <w:pPr>
              <w:pStyle w:val="a5"/>
              <w:spacing w:after="0" w:line="240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tibbiyoti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ta’rifi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tibbiyotining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maqsadi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vazifalari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predmeti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tibbiyotining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boshqa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fanlar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bilan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aloqasi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tibbiyotining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qisqacha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tarixi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ekspertizaning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prinsiplari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protsessual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tashkiliy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asoslari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O‘zbekiston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Respublikasida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tizimi</w:t>
            </w:r>
            <w:r w:rsidR="007506FA" w:rsidRPr="005F1690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C70D" w14:textId="77777777" w:rsidR="007506FA" w:rsidRPr="005F1690" w:rsidRDefault="007506FA" w:rsidP="006C114F">
            <w:pPr>
              <w:tabs>
                <w:tab w:val="center" w:pos="342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46AA1A2F" w14:textId="77777777" w:rsidR="007506FA" w:rsidRPr="005F1690" w:rsidRDefault="007506FA" w:rsidP="006C114F">
            <w:pPr>
              <w:tabs>
                <w:tab w:val="center" w:pos="342"/>
              </w:tabs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rFonts w:eastAsia="Calibri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7506FA" w:rsidRPr="00782FC8" w14:paraId="3E4E3087" w14:textId="77777777" w:rsidTr="007506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6D71C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39072883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rFonts w:eastAsia="Calibri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9ED2C" w14:textId="1F4D4B0B" w:rsidR="007506FA" w:rsidRPr="005F1690" w:rsidRDefault="00C35E7F" w:rsidP="006C114F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tanatologiya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O‘lish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o‘lim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Terminal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holatlar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i/>
                <w:sz w:val="28"/>
                <w:szCs w:val="28"/>
                <w:lang w:val="uz-Cyrl-UZ"/>
              </w:rPr>
              <w:t>Hujayra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o‘limi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. </w:t>
            </w:r>
            <w:r>
              <w:rPr>
                <w:i/>
                <w:sz w:val="28"/>
                <w:szCs w:val="28"/>
                <w:lang w:val="uz-Cyrl-UZ"/>
              </w:rPr>
              <w:t>Shaxs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o‘limi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. </w:t>
            </w:r>
            <w:r>
              <w:rPr>
                <w:i/>
                <w:sz w:val="28"/>
                <w:szCs w:val="28"/>
                <w:lang w:val="uz-Cyrl-UZ"/>
              </w:rPr>
              <w:t>Vegetativ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holat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. </w:t>
            </w:r>
            <w:r>
              <w:rPr>
                <w:i/>
                <w:sz w:val="28"/>
                <w:szCs w:val="28"/>
                <w:lang w:val="uz-Cyrl-UZ"/>
              </w:rPr>
              <w:t>Miya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o‘limi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>,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biologik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o‘limning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konstatatsiyasi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>.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Tanatologiyaning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reanimatologiya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transplantologiya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bilan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aloqasi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O‘limning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tasnifi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Tanatogenez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o‘limning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sabablari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O‘lim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sabablarining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raqobati</w:t>
            </w:r>
            <w:r w:rsidR="007506FA" w:rsidRPr="005F1690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AB0B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173A9AB8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rFonts w:eastAsia="Calibri"/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7506FA" w:rsidRPr="00782FC8" w14:paraId="28C1C945" w14:textId="77777777" w:rsidTr="007506F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80E9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64AA0" w14:textId="673501D4" w:rsidR="007506FA" w:rsidRPr="005F1690" w:rsidRDefault="00C35E7F" w:rsidP="006C114F">
            <w:pPr>
              <w:jc w:val="both"/>
              <w:rPr>
                <w:rFonts w:eastAsia="Calibri"/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toksikologiya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Zahar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zaharlanish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tushunchalari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Zaharlanishning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vujudga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kelishida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ahamiyatli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omillar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Toksikokinetika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toksikodinamika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Zaharlarning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5F1690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tasnifi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Ovqatdan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zaharlanish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Alkogol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narkotiklar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5F1690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yangi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sintetik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psixotrop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moddalardan</w:t>
            </w:r>
            <w:r w:rsidR="007506FA" w:rsidRPr="005F1690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zaharlanish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D01E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5F1690">
              <w:rPr>
                <w:b/>
                <w:sz w:val="28"/>
                <w:szCs w:val="28"/>
                <w:lang w:val="uz-Cyrl-UZ"/>
              </w:rPr>
              <w:t>2</w:t>
            </w:r>
          </w:p>
        </w:tc>
      </w:tr>
      <w:tr w:rsidR="007506FA" w:rsidRPr="00782FC8" w14:paraId="665DDA21" w14:textId="77777777" w:rsidTr="007506FA">
        <w:tc>
          <w:tcPr>
            <w:tcW w:w="8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22A6" w14:textId="054A902B" w:rsidR="007506FA" w:rsidRPr="005F1690" w:rsidRDefault="00C35E7F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1830" w14:textId="77777777" w:rsidR="007506FA" w:rsidRPr="005F1690" w:rsidRDefault="007506FA" w:rsidP="006C114F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6</w:t>
            </w:r>
          </w:p>
        </w:tc>
      </w:tr>
    </w:tbl>
    <w:p w14:paraId="008F8BFF" w14:textId="77777777" w:rsidR="007506FA" w:rsidRDefault="007506FA" w:rsidP="008E229E">
      <w:pPr>
        <w:spacing w:line="301" w:lineRule="exact"/>
        <w:jc w:val="center"/>
        <w:rPr>
          <w:sz w:val="28"/>
        </w:rPr>
        <w:sectPr w:rsidR="007506FA" w:rsidSect="008E229E">
          <w:pgSz w:w="11910" w:h="16840"/>
          <w:pgMar w:top="900" w:right="440" w:bottom="280" w:left="880" w:header="720" w:footer="720" w:gutter="0"/>
          <w:cols w:space="720"/>
        </w:sectPr>
      </w:pPr>
    </w:p>
    <w:p w14:paraId="7F85D611" w14:textId="2F54C2D2" w:rsidR="008E229E" w:rsidRDefault="00D07475" w:rsidP="008E229E">
      <w:pPr>
        <w:spacing w:before="3" w:after="4"/>
        <w:ind w:left="734" w:right="608"/>
        <w:jc w:val="center"/>
        <w:rPr>
          <w:b/>
          <w:sz w:val="36"/>
        </w:rPr>
      </w:pPr>
      <w:r w:rsidRPr="00D07475">
        <w:rPr>
          <w:b/>
          <w:sz w:val="36"/>
        </w:rPr>
        <w:lastRenderedPageBreak/>
        <w:t>Amaliy mashg'ulotlar</w:t>
      </w:r>
    </w:p>
    <w:p w14:paraId="4D9D3160" w14:textId="77777777" w:rsidR="008E229E" w:rsidRDefault="008E229E" w:rsidP="008E229E">
      <w:pPr>
        <w:rPr>
          <w:sz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8580"/>
        <w:gridCol w:w="1372"/>
      </w:tblGrid>
      <w:tr w:rsidR="007506FA" w:rsidRPr="00435132" w14:paraId="69A28D68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25773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rFonts w:eastAsia="Calibri"/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C4DA" w14:textId="0C398EBF" w:rsidR="007506FA" w:rsidRPr="00025EFE" w:rsidRDefault="00C35E7F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Amaliy</w:t>
            </w:r>
            <w:r w:rsidR="007506FA" w:rsidRPr="00025EFE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z-Cyrl-UZ"/>
              </w:rPr>
              <w:t>mashg‘ulotlar</w:t>
            </w:r>
            <w:r w:rsidR="007506FA" w:rsidRPr="00025EFE">
              <w:rPr>
                <w:rFonts w:eastAsia="Calibri"/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val="uz-Cyrl-UZ"/>
              </w:rPr>
              <w:t>mavzusi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8C27" w14:textId="4FE72CA4" w:rsidR="007506FA" w:rsidRPr="00025EFE" w:rsidRDefault="00C35E7F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Dars</w:t>
            </w:r>
            <w:r w:rsidR="007506FA" w:rsidRPr="00025EFE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soatlari</w:t>
            </w:r>
            <w:r w:rsidR="007506FA" w:rsidRPr="00025EFE">
              <w:rPr>
                <w:b/>
                <w:sz w:val="28"/>
                <w:szCs w:val="28"/>
                <w:lang w:val="uz-Cyrl-UZ"/>
              </w:rPr>
              <w:t xml:space="preserve"> </w:t>
            </w:r>
            <w:r>
              <w:rPr>
                <w:b/>
                <w:sz w:val="28"/>
                <w:szCs w:val="28"/>
                <w:lang w:val="uz-Cyrl-UZ"/>
              </w:rPr>
              <w:t>hajmi</w:t>
            </w:r>
          </w:p>
        </w:tc>
      </w:tr>
      <w:tr w:rsidR="007506FA" w:rsidRPr="00782FC8" w14:paraId="167B6514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B56F" w14:textId="77777777" w:rsidR="007506FA" w:rsidRPr="00025EFE" w:rsidRDefault="007506FA" w:rsidP="00C35E7F">
            <w:pPr>
              <w:tabs>
                <w:tab w:val="center" w:pos="229"/>
              </w:tabs>
              <w:spacing w:line="276" w:lineRule="auto"/>
              <w:rPr>
                <w:b/>
                <w:sz w:val="28"/>
                <w:szCs w:val="28"/>
                <w:lang w:val="uz-Cyrl-UZ"/>
              </w:rPr>
            </w:pPr>
          </w:p>
          <w:p w14:paraId="54983751" w14:textId="77777777" w:rsidR="007506FA" w:rsidRPr="00025EFE" w:rsidRDefault="007506FA" w:rsidP="00C35E7F">
            <w:pPr>
              <w:tabs>
                <w:tab w:val="center" w:pos="229"/>
              </w:tabs>
              <w:spacing w:line="276" w:lineRule="auto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14:paraId="6E8F1004" w14:textId="77777777" w:rsidR="007506FA" w:rsidRPr="00025EFE" w:rsidRDefault="007506FA" w:rsidP="00C35E7F">
            <w:pPr>
              <w:tabs>
                <w:tab w:val="center" w:pos="229"/>
              </w:tabs>
              <w:spacing w:line="276" w:lineRule="auto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rFonts w:eastAsia="Calibri"/>
                <w:b/>
                <w:sz w:val="28"/>
                <w:szCs w:val="28"/>
                <w:lang w:val="uz-Cyrl-UZ"/>
              </w:rPr>
              <w:tab/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65162" w14:textId="03824E9D" w:rsidR="007506FA" w:rsidRPr="00025EFE" w:rsidRDefault="00C35E7F" w:rsidP="00C35E7F">
            <w:pPr>
              <w:pStyle w:val="a5"/>
              <w:spacing w:after="0"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Hodisa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sodir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topilgan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joyni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ko‘zdan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kechirish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Ko‘zdan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kechirishning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tashkiliy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protsessual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masalalari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tibbiyoti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sohasidagi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mutaxassisning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vazifalari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Turli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hodisalarda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hodisa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sodir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topilgan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joyni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ko‘zdan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kechirishning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xususiyatlari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Hodisa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sodir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topilgan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joyni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ko‘zdan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kechirish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Ko‘zdan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kechirish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bayonnomasini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CDAE" w14:textId="77777777" w:rsidR="007506FA" w:rsidRPr="00025EFE" w:rsidRDefault="007506FA" w:rsidP="00C35E7F">
            <w:pPr>
              <w:tabs>
                <w:tab w:val="center" w:pos="342"/>
              </w:tabs>
              <w:spacing w:line="276" w:lineRule="auto"/>
              <w:ind w:left="23"/>
              <w:jc w:val="center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b/>
                <w:sz w:val="28"/>
                <w:szCs w:val="28"/>
                <w:lang w:val="uz-Cyrl-UZ"/>
              </w:rPr>
              <w:t>4</w:t>
            </w:r>
          </w:p>
        </w:tc>
      </w:tr>
      <w:tr w:rsidR="007506FA" w:rsidRPr="00782FC8" w14:paraId="21A89F1B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17F8B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63E6B1B7" w14:textId="77777777" w:rsidR="007506FA" w:rsidRPr="00025EFE" w:rsidRDefault="007506FA" w:rsidP="00C35E7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14:paraId="243C987E" w14:textId="77777777" w:rsidR="007506FA" w:rsidRPr="00025EFE" w:rsidRDefault="007506FA" w:rsidP="00C35E7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14:paraId="43B2D98A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rFonts w:eastAsia="Calibri"/>
                <w:b/>
                <w:sz w:val="28"/>
                <w:szCs w:val="28"/>
                <w:lang w:val="uz-Cyrl-UZ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4CB6" w14:textId="7EB3C44B" w:rsidR="007506FA" w:rsidRPr="00025EFE" w:rsidRDefault="00C35E7F" w:rsidP="00C35E7F">
            <w:pPr>
              <w:pStyle w:val="a5"/>
              <w:spacing w:after="0"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ilk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kech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o‘zgarishlari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muddatini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aniqlash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Turli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yoshdagi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shaxslarning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nozo‘raki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ekspertizasining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xususiyatlari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Kasalliklardan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ko‘rgazmali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tekshiruvini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o‘tkazish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xulosasini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BCA32" w14:textId="77777777" w:rsidR="007506FA" w:rsidRPr="00025EFE" w:rsidRDefault="007506FA" w:rsidP="00C35E7F">
            <w:pPr>
              <w:spacing w:line="276" w:lineRule="auto"/>
              <w:ind w:left="23"/>
              <w:jc w:val="center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b/>
                <w:sz w:val="28"/>
                <w:szCs w:val="28"/>
                <w:lang w:val="uz-Cyrl-UZ"/>
              </w:rPr>
              <w:t>4</w:t>
            </w:r>
          </w:p>
        </w:tc>
      </w:tr>
      <w:tr w:rsidR="007506FA" w:rsidRPr="00782FC8" w14:paraId="4F1FF4C8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C9876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7BA1D5E8" w14:textId="77777777" w:rsidR="007506FA" w:rsidRPr="00025EFE" w:rsidRDefault="007506FA" w:rsidP="00C35E7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14:paraId="0A982CD5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C8B20" w14:textId="7F7A4756" w:rsidR="007506FA" w:rsidRPr="00025EFE" w:rsidRDefault="00C35E7F" w:rsidP="00C35E7F">
            <w:pPr>
              <w:pStyle w:val="a5"/>
              <w:spacing w:after="0"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Mexanik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asfiksiya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holatlarida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Strangulyatsion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egatning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hayotiyligini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aniqlash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Cho‘kishning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hayotiyligini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aniqlash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Laboratoriya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tekshiruv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usullarining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ahamiyati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Mexanik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asfiksiyaning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turlaridan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mustaqil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tarzda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tekshiruvini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o‘tkazish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xulosasini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F064" w14:textId="77777777" w:rsidR="007506FA" w:rsidRPr="00025EFE" w:rsidRDefault="007506FA" w:rsidP="00C35E7F">
            <w:pPr>
              <w:spacing w:line="276" w:lineRule="auto"/>
              <w:ind w:left="23"/>
              <w:jc w:val="center"/>
              <w:rPr>
                <w:b/>
                <w:sz w:val="28"/>
                <w:szCs w:val="28"/>
                <w:lang w:val="uz-Cyrl-UZ"/>
              </w:rPr>
            </w:pPr>
            <w:r w:rsidRPr="00025EFE">
              <w:rPr>
                <w:b/>
                <w:sz w:val="28"/>
                <w:szCs w:val="28"/>
                <w:lang w:val="uz-Cyrl-UZ"/>
              </w:rPr>
              <w:t>4</w:t>
            </w:r>
          </w:p>
        </w:tc>
      </w:tr>
      <w:tr w:rsidR="007506FA" w:rsidRPr="00782FC8" w14:paraId="587F85B0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8F4D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1BCC2D01" w14:textId="77777777" w:rsidR="007506FA" w:rsidRPr="00025EFE" w:rsidRDefault="007506FA" w:rsidP="00C35E7F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val="uz-Cyrl-UZ"/>
              </w:rPr>
            </w:pPr>
          </w:p>
          <w:p w14:paraId="02E74367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sz w:val="28"/>
                <w:szCs w:val="28"/>
                <w:lang w:val="uz-Cyrl-UZ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731" w14:textId="74AD57D8" w:rsidR="007506FA" w:rsidRPr="00025EFE" w:rsidRDefault="00C35E7F" w:rsidP="00C35E7F">
            <w:pPr>
              <w:pStyle w:val="a5"/>
              <w:spacing w:after="0"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Turli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mexanik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holatlarida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O‘tkir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o‘tmas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jismlardan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o‘q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otar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qurollardan yetkazilgan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Portlash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travmasi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Yangi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tug‘ilgan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chaqoloqlar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Bolalar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bilan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qo‘pol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munosabatda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Bolalar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chayqalish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sindromi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Ko‘plab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qurbonlar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bo‘lgan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favqulotdagi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holatlarda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rFonts w:ascii="Times New Roman" w:hAnsi="Times New Roman"/>
                <w:i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Mexanik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holatlarida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mustaqil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tarzda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tekshiruvini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o‘tkazish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xulosasini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o‘quv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auditoriyasida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mulyaj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makropreparatlar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bo‘yicha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tavsiflash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9C86" w14:textId="2543DCC5" w:rsidR="007506FA" w:rsidRPr="00025EFE" w:rsidRDefault="000E73DA" w:rsidP="00C35E7F">
            <w:pPr>
              <w:spacing w:line="276" w:lineRule="auto"/>
              <w:ind w:left="2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6</w:t>
            </w:r>
          </w:p>
        </w:tc>
      </w:tr>
      <w:tr w:rsidR="007506FA" w:rsidRPr="00782FC8" w14:paraId="2D510625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95F1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</w:p>
          <w:p w14:paraId="28DD12B2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rFonts w:eastAsia="Calibri"/>
                <w:b/>
                <w:sz w:val="28"/>
                <w:szCs w:val="28"/>
                <w:lang w:val="uz-Cyrl-UZ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0FD4" w14:textId="7EFDFD86" w:rsidR="007506FA" w:rsidRPr="00025EFE" w:rsidRDefault="00C35E7F" w:rsidP="00C35E7F">
            <w:pPr>
              <w:pStyle w:val="a5"/>
              <w:spacing w:after="0" w:line="276" w:lineRule="auto"/>
              <w:ind w:left="23"/>
              <w:jc w:val="both"/>
              <w:rPr>
                <w:rFonts w:ascii="Times New Roman" w:hAnsi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travmasi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balandlikdan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yiqilish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Avtotravma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spetsifik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xos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xos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bo‘lmagan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Turli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ko‘rinishdagi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yiqilishlarda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jirohatlarning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xususiyatlari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Transport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travmasi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balandlikdan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yiqilishdan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o‘lim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holatlarida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mustaqil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tarzda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murdaning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tekshiruvini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o‘tkazish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xulosasini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yoki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o‘quv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auditoriyasida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mulyaj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makropreparatlar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bo‘yicha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jarohatlarni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z-Cyrl-UZ"/>
              </w:rPr>
              <w:t>tavsiflash</w:t>
            </w:r>
            <w:r w:rsidR="007506FA" w:rsidRPr="00025EFE">
              <w:rPr>
                <w:rFonts w:ascii="Times New Roman" w:hAnsi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17B4" w14:textId="41B0B914" w:rsidR="007506FA" w:rsidRPr="00025EFE" w:rsidRDefault="000E73DA" w:rsidP="00C35E7F">
            <w:pPr>
              <w:spacing w:line="276" w:lineRule="auto"/>
              <w:ind w:left="23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6</w:t>
            </w:r>
          </w:p>
        </w:tc>
      </w:tr>
      <w:tr w:rsidR="007506FA" w:rsidRPr="00782FC8" w14:paraId="5BF2B374" w14:textId="77777777" w:rsidTr="006C114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844C" w14:textId="77777777" w:rsidR="007506FA" w:rsidRPr="00025EFE" w:rsidRDefault="007506FA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1CB2" w14:textId="7AFC6925" w:rsidR="007506FA" w:rsidRPr="00025EFE" w:rsidRDefault="00C35E7F" w:rsidP="00C35E7F">
            <w:pPr>
              <w:spacing w:line="276" w:lineRule="auto"/>
              <w:jc w:val="both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Tirik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shaxslarning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Tashkiliy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protsessual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xususiyatlar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Tan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jarohatlarining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og‘irlik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darajasini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aniqlashning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mezonlari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i/>
                <w:sz w:val="28"/>
                <w:szCs w:val="28"/>
                <w:lang w:val="uz-Cyrl-UZ"/>
              </w:rPr>
              <w:t>Qiynoq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unga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shubha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bo‘lgan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holatlarda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ekspertizaning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 xml:space="preserve"> </w:t>
            </w:r>
            <w:r>
              <w:rPr>
                <w:i/>
                <w:sz w:val="28"/>
                <w:szCs w:val="28"/>
                <w:lang w:val="uz-Cyrl-UZ"/>
              </w:rPr>
              <w:t>xususiyatlari</w:t>
            </w:r>
            <w:r w:rsidR="007506FA" w:rsidRPr="00025EFE">
              <w:rPr>
                <w:i/>
                <w:sz w:val="28"/>
                <w:szCs w:val="28"/>
                <w:lang w:val="uz-Cyrl-UZ"/>
              </w:rPr>
              <w:t>.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hujjatlarning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ahamiyati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Talabalarning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tan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jarohatlari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yuzasidan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tirik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shaxslarning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ekspertizasida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ishtirok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etishi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lastRenderedPageBreak/>
              <w:t>xulosasini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Jinsiy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holat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jinoyatlar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bo‘yicha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tirik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shaxslarning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ekspertizasi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Bu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turdagi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ekspertizalar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o‘tkazishning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xususiyatlari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ambulatoriyada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jinsiy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holat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jinoyatlar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bo‘yicha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(</w:t>
            </w:r>
            <w:r>
              <w:rPr>
                <w:sz w:val="28"/>
                <w:szCs w:val="28"/>
                <w:lang w:val="uz-Cyrl-UZ"/>
              </w:rPr>
              <w:t>zo‘rlash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besoqolbozlik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fahsh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harakatlari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tanosil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kasalliklarini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yuqtirish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jins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jinsiy yetuklik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homiladorlik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, </w:t>
            </w:r>
            <w:r>
              <w:rPr>
                <w:sz w:val="28"/>
                <w:szCs w:val="28"/>
                <w:lang w:val="uz-Cyrl-UZ"/>
              </w:rPr>
              <w:t>homila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tushish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belgilarini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aniqlash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va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sh</w:t>
            </w:r>
            <w:r w:rsidR="007506FA" w:rsidRPr="00025EFE">
              <w:rPr>
                <w:sz w:val="28"/>
                <w:szCs w:val="28"/>
                <w:lang w:val="uz-Cyrl-UZ"/>
              </w:rPr>
              <w:t>.</w:t>
            </w:r>
            <w:r>
              <w:rPr>
                <w:sz w:val="28"/>
                <w:szCs w:val="28"/>
                <w:lang w:val="uz-Cyrl-UZ"/>
              </w:rPr>
              <w:t>k</w:t>
            </w:r>
            <w:r w:rsidR="007506FA" w:rsidRPr="00025EFE">
              <w:rPr>
                <w:sz w:val="28"/>
                <w:szCs w:val="28"/>
                <w:lang w:val="uz-Cyrl-UZ"/>
              </w:rPr>
              <w:t>.</w:t>
            </w:r>
            <w:r>
              <w:rPr>
                <w:sz w:val="28"/>
                <w:szCs w:val="28"/>
                <w:lang w:val="uz-Cyrl-UZ"/>
              </w:rPr>
              <w:t>lar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) </w:t>
            </w:r>
            <w:r>
              <w:rPr>
                <w:sz w:val="28"/>
                <w:szCs w:val="28"/>
                <w:lang w:val="uz-Cyrl-UZ"/>
              </w:rPr>
              <w:t>sud</w:t>
            </w:r>
            <w:r w:rsidR="007506FA" w:rsidRPr="00025EFE">
              <w:rPr>
                <w:sz w:val="28"/>
                <w:szCs w:val="28"/>
                <w:lang w:val="uz-Cyrl-UZ"/>
              </w:rPr>
              <w:t>-</w:t>
            </w:r>
            <w:r>
              <w:rPr>
                <w:sz w:val="28"/>
                <w:szCs w:val="28"/>
                <w:lang w:val="uz-Cyrl-UZ"/>
              </w:rPr>
              <w:t>tibbiy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o‘tkazish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. </w:t>
            </w:r>
            <w:r>
              <w:rPr>
                <w:sz w:val="28"/>
                <w:szCs w:val="28"/>
                <w:lang w:val="uz-Cyrl-UZ"/>
              </w:rPr>
              <w:t>Ekspertiza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xulosasini</w:t>
            </w:r>
            <w:r w:rsidR="007506FA" w:rsidRPr="00025EFE">
              <w:rPr>
                <w:sz w:val="28"/>
                <w:szCs w:val="28"/>
                <w:lang w:val="uz-Cyrl-UZ"/>
              </w:rPr>
              <w:t xml:space="preserve"> </w:t>
            </w:r>
            <w:r>
              <w:rPr>
                <w:sz w:val="28"/>
                <w:szCs w:val="28"/>
                <w:lang w:val="uz-Cyrl-UZ"/>
              </w:rPr>
              <w:t>tuzish</w:t>
            </w:r>
            <w:r w:rsidR="007506FA" w:rsidRPr="00025EFE">
              <w:rPr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E46" w14:textId="2B32CFED" w:rsidR="007506FA" w:rsidRPr="00025EFE" w:rsidRDefault="00D708B6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lastRenderedPageBreak/>
              <w:t>6</w:t>
            </w:r>
          </w:p>
        </w:tc>
      </w:tr>
      <w:tr w:rsidR="007506FA" w:rsidRPr="00782FC8" w14:paraId="519ACB62" w14:textId="77777777" w:rsidTr="006C114F">
        <w:tc>
          <w:tcPr>
            <w:tcW w:w="9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42AF" w14:textId="539DDBD6" w:rsidR="007506FA" w:rsidRPr="00025EFE" w:rsidRDefault="00C35E7F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JAMI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9E95F" w14:textId="24D3D46C" w:rsidR="007506FA" w:rsidRPr="00025EFE" w:rsidRDefault="009D7AFB" w:rsidP="00C35E7F">
            <w:pPr>
              <w:spacing w:line="276" w:lineRule="auto"/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30</w:t>
            </w:r>
            <w:bookmarkStart w:id="0" w:name="_GoBack"/>
            <w:bookmarkEnd w:id="0"/>
          </w:p>
        </w:tc>
      </w:tr>
    </w:tbl>
    <w:p w14:paraId="64183D5D" w14:textId="44968640" w:rsidR="007506FA" w:rsidRDefault="007506FA" w:rsidP="008E229E">
      <w:pPr>
        <w:rPr>
          <w:sz w:val="28"/>
        </w:rPr>
      </w:pPr>
    </w:p>
    <w:p w14:paraId="41862B6A" w14:textId="77777777" w:rsidR="008E229E" w:rsidRDefault="008E229E" w:rsidP="008E229E">
      <w:pPr>
        <w:rPr>
          <w:b/>
          <w:sz w:val="20"/>
        </w:rPr>
      </w:pPr>
    </w:p>
    <w:p w14:paraId="533C5FEB" w14:textId="77777777" w:rsidR="008E229E" w:rsidRDefault="008E229E" w:rsidP="008E229E">
      <w:pPr>
        <w:rPr>
          <w:b/>
          <w:sz w:val="20"/>
        </w:rPr>
      </w:pPr>
    </w:p>
    <w:p w14:paraId="5D42A8B5" w14:textId="4FF5CC87" w:rsidR="008E229E" w:rsidRPr="00922EFB" w:rsidRDefault="00D07475" w:rsidP="008E229E">
      <w:pPr>
        <w:spacing w:before="10"/>
        <w:rPr>
          <w:b/>
          <w:sz w:val="25"/>
        </w:rPr>
      </w:pPr>
      <w:r w:rsidRPr="00922EFB">
        <w:rPr>
          <w:b/>
          <w:sz w:val="28"/>
          <w:lang w:val="en-US"/>
        </w:rPr>
        <w:t xml:space="preserve">                         </w:t>
      </w:r>
      <w:r w:rsidRPr="00922EFB">
        <w:rPr>
          <w:b/>
          <w:sz w:val="28"/>
        </w:rPr>
        <w:t xml:space="preserve">Kafedra mudiri </w:t>
      </w:r>
      <w:r w:rsidRPr="00922EFB">
        <w:rPr>
          <w:b/>
          <w:sz w:val="28"/>
          <w:lang w:val="en-US"/>
        </w:rPr>
        <w:t xml:space="preserve">                                                     </w:t>
      </w:r>
      <w:r w:rsidRPr="00922EFB">
        <w:rPr>
          <w:b/>
          <w:sz w:val="28"/>
        </w:rPr>
        <w:t>I.I.Ba</w:t>
      </w:r>
      <w:r w:rsidR="006B641F" w:rsidRPr="00922EFB">
        <w:rPr>
          <w:b/>
          <w:sz w:val="28"/>
          <w:lang w:val="en-US"/>
        </w:rPr>
        <w:t>kh</w:t>
      </w:r>
      <w:r w:rsidRPr="00922EFB">
        <w:rPr>
          <w:b/>
          <w:sz w:val="28"/>
        </w:rPr>
        <w:t>riev</w:t>
      </w:r>
    </w:p>
    <w:p w14:paraId="4B4C174A" w14:textId="77777777" w:rsidR="00D07475" w:rsidRPr="00922EFB" w:rsidRDefault="00D07475" w:rsidP="00D07475">
      <w:pPr>
        <w:tabs>
          <w:tab w:val="left" w:pos="6316"/>
        </w:tabs>
        <w:spacing w:before="1"/>
        <w:ind w:left="1167"/>
        <w:rPr>
          <w:b/>
          <w:sz w:val="28"/>
        </w:rPr>
      </w:pPr>
    </w:p>
    <w:sectPr w:rsidR="00D07475" w:rsidRPr="00922EFB">
      <w:headerReference w:type="default" r:id="rId6"/>
      <w:pgSz w:w="11910" w:h="16840"/>
      <w:pgMar w:top="960" w:right="440" w:bottom="280" w:left="8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096983" w14:textId="77777777" w:rsidR="0000280D" w:rsidRDefault="0000280D">
      <w:r>
        <w:separator/>
      </w:r>
    </w:p>
  </w:endnote>
  <w:endnote w:type="continuationSeparator" w:id="0">
    <w:p w14:paraId="0C118DC4" w14:textId="77777777" w:rsidR="0000280D" w:rsidRDefault="0000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F322FE" w14:textId="77777777" w:rsidR="0000280D" w:rsidRDefault="0000280D">
      <w:r>
        <w:separator/>
      </w:r>
    </w:p>
  </w:footnote>
  <w:footnote w:type="continuationSeparator" w:id="0">
    <w:p w14:paraId="7AD3A62A" w14:textId="77777777" w:rsidR="0000280D" w:rsidRDefault="0000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C7E896" w14:textId="4D97D972" w:rsidR="000508D8" w:rsidRDefault="008E229E">
    <w:pPr>
      <w:pStyle w:val="a3"/>
      <w:spacing w:line="14" w:lineRule="auto"/>
      <w:rPr>
        <w:b w:val="0"/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30B390" wp14:editId="5EDC899B">
              <wp:simplePos x="0" y="0"/>
              <wp:positionH relativeFrom="page">
                <wp:posOffset>6906895</wp:posOffset>
              </wp:positionH>
              <wp:positionV relativeFrom="page">
                <wp:posOffset>440055</wp:posOffset>
              </wp:positionV>
              <wp:extent cx="152400" cy="194310"/>
              <wp:effectExtent l="1270" t="1905" r="0" b="381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5773F" w14:textId="77777777" w:rsidR="000508D8" w:rsidRDefault="006B64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08B6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30B390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3.85pt;margin-top:34.6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+ETxQ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" filled="f" stroked="f">
              <v:textbox inset="0,0,0,0">
                <w:txbxContent>
                  <w:p w14:paraId="7A65773F" w14:textId="77777777" w:rsidR="000508D8" w:rsidRDefault="006B64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08B6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68"/>
    <w:rsid w:val="0000280D"/>
    <w:rsid w:val="0008765F"/>
    <w:rsid w:val="000E73DA"/>
    <w:rsid w:val="001305B0"/>
    <w:rsid w:val="001760F4"/>
    <w:rsid w:val="001C3979"/>
    <w:rsid w:val="001D638C"/>
    <w:rsid w:val="00384C6E"/>
    <w:rsid w:val="00386D6D"/>
    <w:rsid w:val="00492233"/>
    <w:rsid w:val="00537245"/>
    <w:rsid w:val="00567EEE"/>
    <w:rsid w:val="0058311E"/>
    <w:rsid w:val="006106FA"/>
    <w:rsid w:val="006B641F"/>
    <w:rsid w:val="006C0DE8"/>
    <w:rsid w:val="007506FA"/>
    <w:rsid w:val="007541D7"/>
    <w:rsid w:val="008A61ED"/>
    <w:rsid w:val="008E229E"/>
    <w:rsid w:val="00922EFB"/>
    <w:rsid w:val="009860E2"/>
    <w:rsid w:val="009C43B8"/>
    <w:rsid w:val="009D7AFB"/>
    <w:rsid w:val="00AA0468"/>
    <w:rsid w:val="00C35E7F"/>
    <w:rsid w:val="00CB0DB0"/>
    <w:rsid w:val="00CB1AB1"/>
    <w:rsid w:val="00D07475"/>
    <w:rsid w:val="00D708B6"/>
    <w:rsid w:val="00FD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6011C"/>
  <w15:chartTrackingRefBased/>
  <w15:docId w15:val="{5877B285-B53A-4DEB-8999-6111C77C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2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2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E229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E229E"/>
    <w:rPr>
      <w:rFonts w:ascii="Times New Roman" w:eastAsia="Times New Roman" w:hAnsi="Times New Roman" w:cs="Times New Roman"/>
      <w:b/>
      <w:bCs/>
      <w:sz w:val="28"/>
      <w:szCs w:val="28"/>
      <w:lang w:val="bg-BG"/>
    </w:rPr>
  </w:style>
  <w:style w:type="paragraph" w:customStyle="1" w:styleId="TableParagraph">
    <w:name w:val="Table Paragraph"/>
    <w:basedOn w:val="a"/>
    <w:uiPriority w:val="1"/>
    <w:qFormat/>
    <w:rsid w:val="008E229E"/>
  </w:style>
  <w:style w:type="paragraph" w:styleId="a5">
    <w:name w:val="List Paragraph"/>
    <w:basedOn w:val="a"/>
    <w:uiPriority w:val="34"/>
    <w:qFormat/>
    <w:rsid w:val="007506FA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35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5E7F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TMA</cp:lastModifiedBy>
  <cp:revision>17</cp:revision>
  <cp:lastPrinted>2023-10-03T03:19:00Z</cp:lastPrinted>
  <dcterms:created xsi:type="dcterms:W3CDTF">2021-08-29T14:28:00Z</dcterms:created>
  <dcterms:modified xsi:type="dcterms:W3CDTF">2023-10-03T07:02:00Z</dcterms:modified>
</cp:coreProperties>
</file>